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5F1F8C" w14:textId="2E0D2CBB" w:rsidR="00526C28" w:rsidRPr="00E65648" w:rsidRDefault="00C9046D">
      <w:pPr>
        <w:rPr>
          <w:rFonts w:ascii="Times New Roman" w:hAnsi="Times New Roman" w:cs="Times New Roman"/>
          <w:b/>
          <w:bCs/>
          <w:sz w:val="20"/>
          <w:szCs w:val="20"/>
          <w:lang w:val="en-US"/>
        </w:rPr>
      </w:pPr>
      <w:r w:rsidRPr="00E65648">
        <w:rPr>
          <w:rFonts w:ascii="Times New Roman" w:hAnsi="Times New Roman" w:cs="Times New Roman"/>
          <w:b/>
          <w:bCs/>
          <w:sz w:val="20"/>
          <w:szCs w:val="20"/>
          <w:lang w:val="en-US"/>
        </w:rPr>
        <w:t>Supplementary Analyses</w:t>
      </w:r>
      <w:r w:rsidR="00526C28" w:rsidRPr="00E65648">
        <w:rPr>
          <w:rFonts w:ascii="Times New Roman" w:hAnsi="Times New Roman" w:cs="Times New Roman"/>
          <w:b/>
          <w:bCs/>
          <w:sz w:val="20"/>
          <w:szCs w:val="20"/>
          <w:lang w:val="en-US"/>
        </w:rPr>
        <w:t xml:space="preserve"> - Methods</w:t>
      </w:r>
    </w:p>
    <w:p w14:paraId="6C9C881F" w14:textId="478886C3" w:rsidR="00C9046D" w:rsidRPr="00E65648" w:rsidRDefault="00C9046D" w:rsidP="00C9046D">
      <w:pPr>
        <w:autoSpaceDE w:val="0"/>
        <w:autoSpaceDN w:val="0"/>
        <w:adjustRightInd w:val="0"/>
        <w:spacing w:after="0" w:line="480" w:lineRule="auto"/>
        <w:jc w:val="both"/>
        <w:rPr>
          <w:rFonts w:ascii="Times New Roman" w:hAnsi="Times New Roman" w:cs="Times New Roman"/>
          <w:sz w:val="20"/>
          <w:szCs w:val="20"/>
          <w:lang w:val="en-GB" w:bidi="ne-NP"/>
        </w:rPr>
      </w:pPr>
      <w:r w:rsidRPr="00E65648">
        <w:rPr>
          <w:rFonts w:ascii="Times New Roman" w:hAnsi="Times New Roman" w:cs="Times New Roman"/>
          <w:sz w:val="20"/>
          <w:szCs w:val="20"/>
          <w:lang w:val="en-GB"/>
        </w:rPr>
        <w:t>We examined the effect of age, gender, the presence of chronic illnesses, and EA on SRH using multivariate linear association analyses. The four predictors were used in three separate multivariate regressions: one with pre-pandemic SRH as outcome variable, one with pandemic SRH as outcome variable, and one with the SRH difference score as outcome.</w:t>
      </w:r>
      <w:r w:rsidRPr="00E65648">
        <w:rPr>
          <w:rFonts w:ascii="Times New Roman" w:hAnsi="Times New Roman" w:cs="Times New Roman"/>
          <w:sz w:val="20"/>
          <w:szCs w:val="20"/>
          <w:lang w:val="en-GB"/>
        </w:rPr>
        <w:t xml:space="preserve"> For all analyses, we excluded individuals with a COVID-19 case status during the pandemic.</w:t>
      </w:r>
      <w:r w:rsidRPr="00E65648">
        <w:rPr>
          <w:rFonts w:ascii="Times New Roman" w:hAnsi="Times New Roman" w:cs="Times New Roman"/>
          <w:sz w:val="20"/>
          <w:szCs w:val="20"/>
          <w:lang w:val="en-GB" w:bidi="ne-NP"/>
        </w:rPr>
        <w:t xml:space="preserve"> Since data were collected in a sample of related individuals, there might be bias due to non-independency of observations. Therefore, we used the generalized estimating equations (GEE) in R, which allows for the analysis of correlated data by correcting standard errors based on a sandwich correction </w:t>
      </w:r>
      <w:r w:rsidRPr="00E65648">
        <w:rPr>
          <w:rFonts w:ascii="Times New Roman" w:hAnsi="Times New Roman" w:cs="Times New Roman"/>
          <w:sz w:val="20"/>
          <w:szCs w:val="20"/>
          <w:lang w:val="en-GB" w:bidi="ne-NP"/>
        </w:rPr>
        <w:fldChar w:fldCharType="begin" w:fldLock="1"/>
      </w:r>
      <w:r w:rsidR="00D80EB8">
        <w:rPr>
          <w:rFonts w:ascii="Times New Roman" w:hAnsi="Times New Roman" w:cs="Times New Roman"/>
          <w:sz w:val="20"/>
          <w:szCs w:val="20"/>
          <w:lang w:val="en-GB" w:bidi="ne-NP"/>
        </w:rPr>
        <w:instrText>ADDIN CSL_CITATION {"citationItems":[{"id":"ITEM-1","itemData":{"DOI":"10.1002/0470013192.bsa250","author":[{"dropping-particle":"","family":"Hardin","given":"James W.","non-dropping-particle":"","parse-names":false,"suffix":""}],"container-title":"Encyclopedia of Statistics in Behavioral Science","id":"ITEM-1","issued":{"date-parts":[["2005","10","15"]]},"publisher":"John Wiley &amp; Sons, Ltd","publisher-place":"Chichester, UK","title":"Generalized Estimating Equations (GEE)","type":"chapter"},"uris":["http://www.mendeley.com/documents/?uuid=d7239816-0814-364c-b234-bb40abe3bfef","http://www.mendeley.com/documents/?uuid=d13c380b-ae7a-4501-b201-e267be11869e"]},{"id":"ITEM-2","itemData":{"DOI":"10.1038/ejhg.2014.94","ISSN":"14765438","PMID":"24916646","abstract":"Given the availability of genotype and phenotype data collected in family members, the question arises which estimator ensures the most optimal use of such data in genome-wide scans. Using simulations, we compared the Unweighted Least Squares (ULS) and Maximum Likelihood (ML) procedures. The former is implemented in Plink and uses a sandwich correction to correct the standard errors for model misspecification of ignoring the clustering. The latter is implemented by fast linear mixed procedures and models explicitly the familial resemblance. However, as it commits to a background model limited to additive genetic and unshared environmental effects, it employs a misspecified model for traits with a shared environmental component. We considered the performance of the two procedures in terms of type I and type II error rates, with correct and incorrect model specification in ML. For traits characterized by moderate to large familial resemblance, using an ML procedure with a correctly specified model for the conditional familial covariance matrix should be the strategy of choice. The potential loss in power encountered by the sandwich corrected ULS procedure does not outweigh its computational convenience. Furthermore, the ML procedure was quite robust under model misspecification in the simulated settings and appreciably more powerful than the sandwich corrected ULS procedure. However, to correct for the effects of model misspecification in ML in circumstances other than those considered here, we propose to use a sandwich correction. We show that the sandwich correction can be formulated in terms of the fast ML method.","author":[{"dropping-particle":"","family":"Minicə","given":"Camelia C.","non-dropping-particle":"","parse-names":false,"suffix":""},{"dropping-particle":"V.","family":"Dolan","given":"Conor","non-dropping-particle":"","parse-names":false,"suffix":""},{"dropping-particle":"","family":"Kampert","given":"Maarten M.D.","non-dropping-particle":"","parse-names":false,"suffix":""},{"dropping-particle":"","family":"Boomsma","given":"Dorret I.","non-dropping-particle":"","parse-names":false,"suffix":""},{"dropping-particle":"","family":"Vink","given":"Jacqueline M.","non-dropping-particle":"","parse-names":false,"suffix":""}],"container-title":"European Journal of Human Genetics","id":"ITEM-2","issue":"3","issued":{"date-parts":[["2015","3","1"]]},"page":"388-394","publisher":"Nature Publishing Group","title":"Sandwich corrected standard errors in family-based genome-wide association studies","type":"article-journal","volume":"23"},"uris":["http://www.mendeley.com/documents/?uuid=d8c5729b-5bae-389c-bd37-b0fafb043b30","http://www.mendeley.com/documents/?uuid=d7ba4e61-cf8a-4abb-b8e3-346313eed42e"]}],"mendeley":{"formattedCitation":"(Hardin 2005; Minicə et al. 2015)","plainTextFormattedCitation":"(Hardin 2005; Minicə et al. 2015)","previouslyFormattedCitation":"(Hardin, 2005; Minicə et al., 2015)"},"properties":{"noteIndex":0},"schema":"https://github.com/citation-style-language/schema/raw/master/csl-citation.json"}</w:instrText>
      </w:r>
      <w:r w:rsidRPr="00E65648">
        <w:rPr>
          <w:rFonts w:ascii="Times New Roman" w:hAnsi="Times New Roman" w:cs="Times New Roman"/>
          <w:sz w:val="20"/>
          <w:szCs w:val="20"/>
          <w:lang w:val="en-GB" w:bidi="ne-NP"/>
        </w:rPr>
        <w:fldChar w:fldCharType="separate"/>
      </w:r>
      <w:r w:rsidR="00D80EB8" w:rsidRPr="00D80EB8">
        <w:rPr>
          <w:rFonts w:ascii="Times New Roman" w:hAnsi="Times New Roman" w:cs="Times New Roman"/>
          <w:noProof/>
          <w:sz w:val="20"/>
          <w:szCs w:val="20"/>
          <w:lang w:val="en-GB" w:bidi="ne-NP"/>
        </w:rPr>
        <w:t>(Hardin 2005; Minicə et al. 2015)</w:t>
      </w:r>
      <w:r w:rsidRPr="00E65648">
        <w:rPr>
          <w:rFonts w:ascii="Times New Roman" w:hAnsi="Times New Roman" w:cs="Times New Roman"/>
          <w:sz w:val="20"/>
          <w:szCs w:val="20"/>
          <w:lang w:val="en-GB" w:bidi="ne-NP"/>
        </w:rPr>
        <w:fldChar w:fldCharType="end"/>
      </w:r>
      <w:r w:rsidRPr="00E65648">
        <w:rPr>
          <w:rFonts w:ascii="Times New Roman" w:hAnsi="Times New Roman" w:cs="Times New Roman"/>
          <w:sz w:val="20"/>
          <w:szCs w:val="20"/>
          <w:lang w:val="en-GB" w:bidi="ne-NP"/>
        </w:rPr>
        <w:t>. We standardized SRH and age prior to the GEE analyses. Based on the number of tests and variables, we corrected our significance threshold for 12 tests, so that α=0.05/12= .004.</w:t>
      </w:r>
    </w:p>
    <w:p w14:paraId="1AE828A9" w14:textId="5A7CA140" w:rsidR="00526C28" w:rsidRPr="00E65648" w:rsidRDefault="00526C28" w:rsidP="00526C28">
      <w:pPr>
        <w:spacing w:line="480" w:lineRule="auto"/>
        <w:ind w:firstLine="708"/>
        <w:jc w:val="both"/>
        <w:rPr>
          <w:rFonts w:ascii="Times New Roman" w:hAnsi="Times New Roman" w:cs="Times New Roman"/>
          <w:sz w:val="20"/>
          <w:szCs w:val="20"/>
          <w:lang w:val="en-GB"/>
        </w:rPr>
      </w:pPr>
      <w:r w:rsidRPr="00E65648">
        <w:rPr>
          <w:rFonts w:ascii="Times New Roman" w:hAnsi="Times New Roman" w:cs="Times New Roman"/>
          <w:sz w:val="20"/>
          <w:szCs w:val="20"/>
          <w:lang w:val="en-GB"/>
        </w:rPr>
        <w:t>The presence of chronic illnesses</w:t>
      </w:r>
      <w:r w:rsidRPr="00E65648">
        <w:rPr>
          <w:rFonts w:ascii="Times New Roman" w:hAnsi="Times New Roman" w:cs="Times New Roman"/>
          <w:i/>
          <w:iCs/>
          <w:sz w:val="20"/>
          <w:szCs w:val="20"/>
          <w:lang w:val="en-GB"/>
        </w:rPr>
        <w:t xml:space="preserve"> </w:t>
      </w:r>
      <w:r w:rsidRPr="00E65648">
        <w:rPr>
          <w:rFonts w:ascii="Times New Roman" w:hAnsi="Times New Roman" w:cs="Times New Roman"/>
          <w:sz w:val="20"/>
          <w:szCs w:val="20"/>
          <w:lang w:val="en-GB"/>
        </w:rPr>
        <w:t xml:space="preserve">was assessed by presenting the participants with a list of illnesses, and asking them to indicate whether they were diagnosed with these diseases by a doctor. For the purpose of this study, we included illnesses known to be associated with COVID-19 related death, as this would place people in a risk-group for suffering severe consequences if infected with COVID-19. Based on a study that examined over 17 million primary care records </w:t>
      </w:r>
      <w:r w:rsidRPr="00E65648">
        <w:rPr>
          <w:rFonts w:ascii="Times New Roman" w:hAnsi="Times New Roman" w:cs="Times New Roman"/>
          <w:sz w:val="20"/>
          <w:szCs w:val="20"/>
          <w:lang w:val="en-GB"/>
        </w:rPr>
        <w:fldChar w:fldCharType="begin" w:fldLock="1"/>
      </w:r>
      <w:r w:rsidR="00D80EB8">
        <w:rPr>
          <w:rFonts w:ascii="Times New Roman" w:hAnsi="Times New Roman" w:cs="Times New Roman"/>
          <w:sz w:val="20"/>
          <w:szCs w:val="20"/>
          <w:lang w:val="en-GB"/>
        </w:rPr>
        <w:instrText>ADDIN CSL_CITATION {"citationItems":[{"id":"ITEM-1","itemData":{"DOI":"10.1038/s41586-020-2521-4","ISSN":"14764687","PMID":"32640463","abstract":"Coronavirus disease 2019 (COVID-19) has rapidly affected mortality worldwide1. There is unprecedented urgency to understand who is most at risk of severe outcomes, and this requires new approaches for the timely analysis of large datasets. Working on behalf of NHS England, we created OpenSAFELY—a secure health analytics platform that covers 40% of all patients in England and holds patient data within the existing data centre of a major vendor of primary care electronic health records. Here we used OpenSAFELY to examine factors associated with COVID-19-related death. Primary care records of 17,278,392 adults were pseudonymously linked to 10,926 COVID-19-related deaths. COVID-19-related death was associated with: being male (hazard ratio (HR) 1.59 (95% confidence interval 1.53–1.65)); greater age and deprivation (both with a strong gradient); diabetes; severe asthma; and various other medical conditions. Compared with people of white ethnicity, Black and South Asian people were at higher risk, even after adjustment for other factors (HR 1.48 (1.29–1.69) and 1.45 (1.32–1.58), respectively). We have quantified a range of clinical factors associated with COVID-19-related death in one of the largest cohort studies on this topic so far. More patient records are rapidly being added to OpenSAFELY, we will update and extend our results regularly.","author":[{"dropping-particle":"","family":"Williamson","given":"Elizabeth J.","non-dropping-particle":"","parse-names":false,"suffix":""},{"dropping-particle":"","family":"Walker","given":"Alex J.","non-dropping-particle":"","parse-names":false,"suffix":""},{"dropping-particle":"","family":"Bhaskaran","given":"Krishnan","non-dropping-particle":"","parse-names":false,"suffix":""},{"dropping-particle":"","family":"Bacon","given":"Seb","non-dropping-particle":"","parse-names":false,"suffix":""},{"dropping-particle":"","family":"Bates","given":"Chris","non-dropping-particle":"","parse-names":false,"suffix":""},{"dropping-particle":"","family":"Morton","given":"Caroline E.","non-dropping-particle":"","parse-names":false,"suffix":""},{"dropping-particle":"","family":"Curtis","given":"Helen J.","non-dropping-particle":"","parse-names":false,"suffix":""},{"dropping-particle":"","family":"Mehrkar","given":"Amir","non-dropping-particle":"","parse-names":false,"suffix":""},{"dropping-particle":"","family":"Evans","given":"David","non-dropping-particle":"","parse-names":false,"suffix":""},{"dropping-particle":"","family":"Inglesby","given":"Peter","non-dropping-particle":"","parse-names":false,"suffix":""},{"dropping-particle":"","family":"Cockburn","given":"Jonathan","non-dropping-particle":"","parse-names":false,"suffix":""},{"dropping-particle":"","family":"McDonald","given":"Helen I.","non-dropping-particle":"","parse-names":false,"suffix":""},{"dropping-particle":"","family":"MacKenna","given":"Brian","non-dropping-particle":"","parse-names":false,"suffix":""},{"dropping-particle":"","family":"Tomlinson","given":"Laurie","non-dropping-particle":"","parse-names":false,"suffix":""},{"dropping-particle":"","family":"Douglas","given":"Ian J.","non-dropping-particle":"","parse-names":false,"suffix":""},{"dropping-particle":"","family":"Rentsch","given":"Christopher T.","non-dropping-particle":"","parse-names":false,"suffix":""},{"dropping-particle":"","family":"Mathur","given":"Rohini","non-dropping-particle":"","parse-names":false,"suffix":""},{"dropping-particle":"","family":"Wong","given":"Angel Y.S.","non-dropping-particle":"","parse-names":false,"suffix":""},{"dropping-particle":"","family":"Grieve","given":"Richard","non-dropping-particle":"","parse-names":false,"suffix":""},{"dropping-particle":"","family":"Harrison","given":"David","non-dropping-particle":"","parse-names":false,"suffix":""},{"dropping-particle":"","family":"Forbes","given":"Harriet","non-dropping-particle":"","parse-names":false,"suffix":""},{"dropping-particle":"","family":"Schultze","given":"Anna","non-dropping-particle":"","parse-names":false,"suffix":""},{"dropping-particle":"","family":"Croker","given":"Richard","non-dropping-particle":"","parse-names":false,"suffix":""},{"dropping-particle":"","family":"Parry","given":"John","non-dropping-particle":"","parse-names":false,"suffix":""},{"dropping-particle":"","family":"Hester","given":"Frank","non-dropping-particle":"","parse-names":false,"suffix":""},{"dropping-particle":"","family":"Harper","given":"Sam","non-dropping-particle":"","parse-names":false,"suffix":""},{"dropping-particle":"","family":"Perera","given":"Rafael","non-dropping-particle":"","parse-names":false,"suffix":""},{"dropping-particle":"","family":"Evans","given":"Stephen J.W.","non-dropping-particle":"","parse-names":false,"suffix":""},{"dropping-particle":"","family":"Smeeth","given":"Liam","non-dropping-particle":"","parse-names":false,"suffix":""},{"dropping-particle":"","family":"Goldacre","given":"Ben","non-dropping-particle":"","parse-names":false,"suffix":""}],"container-title":"Nature","id":"ITEM-1","issue":"7821","issued":{"date-parts":[["2020","8","20"]]},"page":"430-436","publisher":"Nature Research","title":"Factors associated with COVID-19-related death using OpenSAFELY","type":"article-journal","volume":"584"},"uris":["http://www.mendeley.com/documents/?uuid=4f0458cc-08ef-371c-8cd6-37e7c35f7368","http://www.mendeley.com/documents/?uuid=8193d746-5cc4-4839-888a-2097658b0f5d"]}],"mendeley":{"formattedCitation":"(Williamson et al. 2020)","plainTextFormattedCitation":"(Williamson et al. 2020)","previouslyFormattedCitation":"(Williamson et al., 2020)"},"properties":{"noteIndex":0},"schema":"https://github.com/citation-style-language/schema/raw/master/csl-citation.json"}</w:instrText>
      </w:r>
      <w:r w:rsidRPr="00E65648">
        <w:rPr>
          <w:rFonts w:ascii="Times New Roman" w:hAnsi="Times New Roman" w:cs="Times New Roman"/>
          <w:sz w:val="20"/>
          <w:szCs w:val="20"/>
          <w:lang w:val="en-GB"/>
        </w:rPr>
        <w:fldChar w:fldCharType="separate"/>
      </w:r>
      <w:r w:rsidR="00D80EB8" w:rsidRPr="00D80EB8">
        <w:rPr>
          <w:rFonts w:ascii="Times New Roman" w:hAnsi="Times New Roman" w:cs="Times New Roman"/>
          <w:noProof/>
          <w:sz w:val="20"/>
          <w:szCs w:val="20"/>
          <w:lang w:val="en-GB"/>
        </w:rPr>
        <w:t>(Williamson et al. 2020)</w:t>
      </w:r>
      <w:r w:rsidRPr="00E65648">
        <w:rPr>
          <w:rFonts w:ascii="Times New Roman" w:hAnsi="Times New Roman" w:cs="Times New Roman"/>
          <w:sz w:val="20"/>
          <w:szCs w:val="20"/>
          <w:lang w:val="en-GB"/>
        </w:rPr>
        <w:fldChar w:fldCharType="end"/>
      </w:r>
      <w:r w:rsidRPr="00E65648">
        <w:rPr>
          <w:rFonts w:ascii="Times New Roman" w:hAnsi="Times New Roman" w:cs="Times New Roman"/>
          <w:sz w:val="20"/>
          <w:szCs w:val="20"/>
          <w:lang w:val="en-GB"/>
        </w:rPr>
        <w:t xml:space="preserve">, we included the following illnesses/health problems: cardiovascular disorders, heart infarcts, stroke, lung diseases (e.g. asthma), liver disorders, kidney disorders or decreased kidney functioning, type I and type II diabetes, auto-immune disorders, cancer, neurological disorders such as dementia or Parkinson’s, spleen problems, and joint inflammation. Based on these variables, we created a binary variable where 0 indicated that none of these illnesses were present, and 1 indicated one or more were present. If disorders had been present in the past but were no longer present, they were also scored as 0. </w:t>
      </w:r>
      <w:r w:rsidRPr="00E65648">
        <w:rPr>
          <w:rFonts w:ascii="Times New Roman" w:hAnsi="Times New Roman" w:cs="Times New Roman"/>
          <w:sz w:val="20"/>
          <w:szCs w:val="20"/>
          <w:lang w:val="en-GB"/>
        </w:rPr>
        <w:t xml:space="preserve"> In the sample with both pre-pandemic and pandemic SRH data, 1103 individuals had one or more chronic illnesses before the pandemic, and 1248 individuals indicated one or more chronic illnesses during the pandemic</w:t>
      </w:r>
      <w:r w:rsidR="002D5DB0">
        <w:rPr>
          <w:rFonts w:ascii="Times New Roman" w:hAnsi="Times New Roman" w:cs="Times New Roman"/>
          <w:sz w:val="20"/>
          <w:szCs w:val="20"/>
          <w:lang w:val="en-GB"/>
        </w:rPr>
        <w:t xml:space="preserve"> (of whom 939 individuals who also reported pre-pandemic chronic illness)</w:t>
      </w:r>
      <w:r w:rsidRPr="00E65648">
        <w:rPr>
          <w:rFonts w:ascii="Times New Roman" w:hAnsi="Times New Roman" w:cs="Times New Roman"/>
          <w:sz w:val="20"/>
          <w:szCs w:val="20"/>
          <w:lang w:val="en-GB"/>
        </w:rPr>
        <w:t xml:space="preserve">. </w:t>
      </w:r>
    </w:p>
    <w:p w14:paraId="576C90D1" w14:textId="3F9230DF" w:rsidR="00526C28" w:rsidRPr="00E65648" w:rsidRDefault="00526C28" w:rsidP="00526C28">
      <w:pPr>
        <w:spacing w:line="480" w:lineRule="auto"/>
        <w:ind w:firstLine="708"/>
        <w:jc w:val="both"/>
        <w:rPr>
          <w:rFonts w:ascii="Times New Roman" w:hAnsi="Times New Roman" w:cs="Times New Roman"/>
          <w:sz w:val="20"/>
          <w:szCs w:val="20"/>
          <w:lang w:val="en-GB"/>
        </w:rPr>
      </w:pPr>
      <w:r w:rsidRPr="00E65648">
        <w:rPr>
          <w:rFonts w:ascii="Times New Roman" w:hAnsi="Times New Roman" w:cs="Times New Roman"/>
          <w:sz w:val="20"/>
          <w:szCs w:val="20"/>
          <w:lang w:val="en-GB"/>
        </w:rPr>
        <w:t>Educational attainment</w:t>
      </w:r>
      <w:r w:rsidRPr="00E65648">
        <w:rPr>
          <w:rFonts w:ascii="Times New Roman" w:hAnsi="Times New Roman" w:cs="Times New Roman"/>
          <w:i/>
          <w:iCs/>
          <w:sz w:val="20"/>
          <w:szCs w:val="20"/>
          <w:lang w:val="en-GB"/>
        </w:rPr>
        <w:t xml:space="preserve"> </w:t>
      </w:r>
      <w:r w:rsidRPr="00E65648">
        <w:rPr>
          <w:rFonts w:ascii="Times New Roman" w:hAnsi="Times New Roman" w:cs="Times New Roman"/>
          <w:sz w:val="20"/>
          <w:szCs w:val="20"/>
          <w:lang w:val="en-GB"/>
        </w:rPr>
        <w:t>(EA) was measured by asking participants to report their highest attained level of education. The variable was divided into three categories: 1) lower vocational school and lower secondary school, 2) intermediate vocational school and intermediate or higher secondary school, and 3) higher vocational school and university. Participants who only attended primary school were excluded due to the very low frequency of participants reporting this answer in our dataset (</w:t>
      </w:r>
      <w:r w:rsidRPr="00E65648">
        <w:rPr>
          <w:rFonts w:ascii="Times New Roman" w:hAnsi="Times New Roman" w:cs="Times New Roman"/>
          <w:i/>
          <w:iCs/>
          <w:sz w:val="20"/>
          <w:szCs w:val="20"/>
          <w:lang w:val="en-GB"/>
        </w:rPr>
        <w:t>N</w:t>
      </w:r>
      <w:r w:rsidRPr="00E65648">
        <w:rPr>
          <w:rFonts w:ascii="Times New Roman" w:hAnsi="Times New Roman" w:cs="Times New Roman"/>
          <w:sz w:val="20"/>
          <w:szCs w:val="20"/>
          <w:lang w:val="en-GB"/>
        </w:rPr>
        <w:t>=6).</w:t>
      </w:r>
    </w:p>
    <w:p w14:paraId="7D9CDFC6" w14:textId="0A560765" w:rsidR="00526C28" w:rsidRPr="00E65648" w:rsidRDefault="00526C28" w:rsidP="00526C28">
      <w:pPr>
        <w:rPr>
          <w:rFonts w:ascii="Times New Roman" w:hAnsi="Times New Roman" w:cs="Times New Roman"/>
          <w:b/>
          <w:bCs/>
          <w:sz w:val="20"/>
          <w:szCs w:val="20"/>
          <w:lang w:val="en-US"/>
        </w:rPr>
      </w:pPr>
      <w:r w:rsidRPr="00E65648">
        <w:rPr>
          <w:rFonts w:ascii="Times New Roman" w:hAnsi="Times New Roman" w:cs="Times New Roman"/>
          <w:b/>
          <w:bCs/>
          <w:sz w:val="20"/>
          <w:szCs w:val="20"/>
          <w:lang w:val="en-US"/>
        </w:rPr>
        <w:t xml:space="preserve">Supplementary Analyses - </w:t>
      </w:r>
      <w:r w:rsidRPr="00E65648">
        <w:rPr>
          <w:rFonts w:ascii="Times New Roman" w:hAnsi="Times New Roman" w:cs="Times New Roman"/>
          <w:b/>
          <w:bCs/>
          <w:sz w:val="20"/>
          <w:szCs w:val="20"/>
          <w:lang w:val="en-US"/>
        </w:rPr>
        <w:t>Results</w:t>
      </w:r>
    </w:p>
    <w:p w14:paraId="7429DAAB" w14:textId="08013BFF" w:rsidR="00E65648" w:rsidRDefault="00E65648" w:rsidP="00E65648">
      <w:pPr>
        <w:spacing w:line="480" w:lineRule="auto"/>
        <w:jc w:val="both"/>
        <w:rPr>
          <w:rFonts w:ascii="Times New Roman" w:hAnsi="Times New Roman" w:cs="Times New Roman"/>
          <w:sz w:val="20"/>
          <w:szCs w:val="20"/>
          <w:lang w:val="en-GB" w:bidi="ne-NP"/>
        </w:rPr>
      </w:pPr>
      <w:r w:rsidRPr="00E65648">
        <w:rPr>
          <w:rFonts w:ascii="Times New Roman" w:hAnsi="Times New Roman" w:cs="Times New Roman"/>
          <w:sz w:val="20"/>
          <w:szCs w:val="20"/>
          <w:lang w:val="en-GB"/>
        </w:rPr>
        <w:lastRenderedPageBreak/>
        <w:t>We found similar results for the prediction before and during the pandemic</w:t>
      </w:r>
      <w:r w:rsidRPr="00E65648">
        <w:rPr>
          <w:rFonts w:ascii="Times New Roman" w:hAnsi="Times New Roman" w:cs="Times New Roman"/>
          <w:sz w:val="20"/>
          <w:szCs w:val="20"/>
          <w:lang w:val="en-GB"/>
        </w:rPr>
        <w:t xml:space="preserve"> (see Supplementary Table 1 below)</w:t>
      </w:r>
      <w:r w:rsidRPr="00E65648">
        <w:rPr>
          <w:rFonts w:ascii="Times New Roman" w:hAnsi="Times New Roman" w:cs="Times New Roman"/>
          <w:sz w:val="20"/>
          <w:szCs w:val="20"/>
          <w:lang w:val="en-GB"/>
        </w:rPr>
        <w:t>. Gender significantly negatively predicted both pre-pandemic SRH (</w:t>
      </w:r>
      <w:r w:rsidRPr="00E65648">
        <w:rPr>
          <w:rFonts w:ascii="Times New Roman" w:hAnsi="Times New Roman" w:cs="Times New Roman"/>
          <w:i/>
          <w:iCs/>
          <w:sz w:val="20"/>
          <w:szCs w:val="20"/>
          <w:lang w:val="en-GB" w:bidi="ne-NP"/>
        </w:rPr>
        <w:t>β</w:t>
      </w:r>
      <w:r w:rsidRPr="00E65648">
        <w:rPr>
          <w:rFonts w:ascii="Times New Roman" w:hAnsi="Times New Roman" w:cs="Times New Roman"/>
          <w:sz w:val="20"/>
          <w:szCs w:val="20"/>
          <w:lang w:val="en-GB" w:bidi="ne-NP"/>
        </w:rPr>
        <w:t>=-.1</w:t>
      </w:r>
      <w:r>
        <w:rPr>
          <w:rFonts w:ascii="Times New Roman" w:hAnsi="Times New Roman" w:cs="Times New Roman"/>
          <w:sz w:val="20"/>
          <w:szCs w:val="20"/>
          <w:lang w:val="en-GB" w:bidi="ne-NP"/>
        </w:rPr>
        <w:t>8</w:t>
      </w:r>
      <w:r w:rsidRPr="00E65648">
        <w:rPr>
          <w:rFonts w:ascii="Times New Roman" w:hAnsi="Times New Roman" w:cs="Times New Roman"/>
          <w:sz w:val="20"/>
          <w:szCs w:val="20"/>
          <w:lang w:val="en-GB" w:bidi="ne-NP"/>
        </w:rPr>
        <w:t xml:space="preserve">, </w:t>
      </w:r>
      <w:r w:rsidRPr="00E65648">
        <w:rPr>
          <w:rFonts w:ascii="Times New Roman" w:hAnsi="Times New Roman" w:cs="Times New Roman"/>
          <w:i/>
          <w:iCs/>
          <w:sz w:val="20"/>
          <w:szCs w:val="20"/>
          <w:lang w:val="en-GB" w:bidi="ne-NP"/>
        </w:rPr>
        <w:t>SD</w:t>
      </w:r>
      <w:r w:rsidRPr="00E65648">
        <w:rPr>
          <w:rFonts w:ascii="Times New Roman" w:hAnsi="Times New Roman" w:cs="Times New Roman"/>
          <w:sz w:val="20"/>
          <w:szCs w:val="20"/>
          <w:lang w:val="en-GB" w:bidi="ne-NP"/>
        </w:rPr>
        <w:t xml:space="preserve">=.03, </w:t>
      </w:r>
      <w:r w:rsidRPr="00E65648">
        <w:rPr>
          <w:rFonts w:ascii="Times New Roman" w:hAnsi="Times New Roman" w:cs="Times New Roman"/>
          <w:i/>
          <w:iCs/>
          <w:sz w:val="20"/>
          <w:szCs w:val="20"/>
          <w:lang w:val="en-GB" w:bidi="ne-NP"/>
        </w:rPr>
        <w:t>p</w:t>
      </w:r>
      <w:r w:rsidRPr="00E65648">
        <w:rPr>
          <w:rFonts w:ascii="Times New Roman" w:hAnsi="Times New Roman" w:cs="Times New Roman"/>
          <w:sz w:val="20"/>
          <w:szCs w:val="20"/>
          <w:lang w:val="en-GB" w:bidi="ne-NP"/>
        </w:rPr>
        <w:t>=</w:t>
      </w:r>
      <w:r>
        <w:rPr>
          <w:rFonts w:ascii="Times New Roman" w:hAnsi="Times New Roman" w:cs="Times New Roman"/>
          <w:sz w:val="20"/>
          <w:szCs w:val="20"/>
          <w:lang w:val="en-GB" w:bidi="ne-NP"/>
        </w:rPr>
        <w:t>2.37</w:t>
      </w:r>
      <w:r w:rsidRPr="00E65648">
        <w:rPr>
          <w:rFonts w:ascii="Times New Roman" w:hAnsi="Times New Roman" w:cs="Times New Roman"/>
          <w:sz w:val="20"/>
          <w:szCs w:val="20"/>
          <w:lang w:val="en-GB" w:bidi="ne-NP"/>
        </w:rPr>
        <w:t>x10</w:t>
      </w:r>
      <w:r w:rsidRPr="00E65648">
        <w:rPr>
          <w:rFonts w:ascii="Times New Roman" w:hAnsi="Times New Roman" w:cs="Times New Roman"/>
          <w:sz w:val="20"/>
          <w:szCs w:val="20"/>
          <w:vertAlign w:val="superscript"/>
          <w:lang w:val="en-GB" w:bidi="ne-NP"/>
        </w:rPr>
        <w:t>-</w:t>
      </w:r>
      <w:r>
        <w:rPr>
          <w:rFonts w:ascii="Times New Roman" w:hAnsi="Times New Roman" w:cs="Times New Roman"/>
          <w:sz w:val="20"/>
          <w:szCs w:val="20"/>
          <w:vertAlign w:val="superscript"/>
          <w:lang w:val="en-GB" w:bidi="ne-NP"/>
        </w:rPr>
        <w:t>11</w:t>
      </w:r>
      <w:r w:rsidRPr="00E65648">
        <w:rPr>
          <w:rFonts w:ascii="Times New Roman" w:hAnsi="Times New Roman" w:cs="Times New Roman"/>
          <w:sz w:val="20"/>
          <w:szCs w:val="20"/>
          <w:lang w:val="en-GB" w:bidi="ne-NP"/>
        </w:rPr>
        <w:t>) and pandemic SRH (</w:t>
      </w:r>
      <w:r w:rsidRPr="00E65648">
        <w:rPr>
          <w:rFonts w:ascii="Times New Roman" w:hAnsi="Times New Roman" w:cs="Times New Roman"/>
          <w:i/>
          <w:iCs/>
          <w:sz w:val="20"/>
          <w:szCs w:val="20"/>
          <w:lang w:val="en-GB" w:bidi="ne-NP"/>
        </w:rPr>
        <w:t>β</w:t>
      </w:r>
      <w:r w:rsidRPr="00E65648">
        <w:rPr>
          <w:rFonts w:ascii="Times New Roman" w:hAnsi="Times New Roman" w:cs="Times New Roman"/>
          <w:sz w:val="20"/>
          <w:szCs w:val="20"/>
          <w:lang w:val="en-GB" w:bidi="ne-NP"/>
        </w:rPr>
        <w:t>=-.2</w:t>
      </w:r>
      <w:r>
        <w:rPr>
          <w:rFonts w:ascii="Times New Roman" w:hAnsi="Times New Roman" w:cs="Times New Roman"/>
          <w:sz w:val="20"/>
          <w:szCs w:val="20"/>
          <w:lang w:val="en-GB" w:bidi="ne-NP"/>
        </w:rPr>
        <w:t>1</w:t>
      </w:r>
      <w:r w:rsidRPr="00E65648">
        <w:rPr>
          <w:rFonts w:ascii="Times New Roman" w:hAnsi="Times New Roman" w:cs="Times New Roman"/>
          <w:sz w:val="20"/>
          <w:szCs w:val="20"/>
          <w:lang w:val="en-GB" w:bidi="ne-NP"/>
        </w:rPr>
        <w:t xml:space="preserve">, </w:t>
      </w:r>
      <w:r w:rsidRPr="00E65648">
        <w:rPr>
          <w:rFonts w:ascii="Times New Roman" w:hAnsi="Times New Roman" w:cs="Times New Roman"/>
          <w:i/>
          <w:iCs/>
          <w:sz w:val="20"/>
          <w:szCs w:val="20"/>
          <w:lang w:val="en-GB" w:bidi="ne-NP"/>
        </w:rPr>
        <w:t>SD</w:t>
      </w:r>
      <w:r w:rsidRPr="00E65648">
        <w:rPr>
          <w:rFonts w:ascii="Times New Roman" w:hAnsi="Times New Roman" w:cs="Times New Roman"/>
          <w:sz w:val="20"/>
          <w:szCs w:val="20"/>
          <w:lang w:val="en-GB" w:bidi="ne-NP"/>
        </w:rPr>
        <w:t xml:space="preserve">=.02, </w:t>
      </w:r>
      <w:r w:rsidRPr="00E65648">
        <w:rPr>
          <w:rFonts w:ascii="Times New Roman" w:hAnsi="Times New Roman" w:cs="Times New Roman"/>
          <w:i/>
          <w:iCs/>
          <w:sz w:val="20"/>
          <w:szCs w:val="20"/>
          <w:lang w:val="en-GB" w:bidi="ne-NP"/>
        </w:rPr>
        <w:t>p</w:t>
      </w:r>
      <w:r w:rsidRPr="00E65648">
        <w:rPr>
          <w:rFonts w:ascii="Times New Roman" w:hAnsi="Times New Roman" w:cs="Times New Roman"/>
          <w:sz w:val="20"/>
          <w:szCs w:val="20"/>
          <w:lang w:val="en-GB" w:bidi="ne-NP"/>
        </w:rPr>
        <w:t>=</w:t>
      </w:r>
      <w:r>
        <w:rPr>
          <w:rFonts w:ascii="Times New Roman" w:hAnsi="Times New Roman" w:cs="Times New Roman"/>
          <w:sz w:val="20"/>
          <w:szCs w:val="20"/>
          <w:lang w:val="en-GB" w:bidi="ne-NP"/>
        </w:rPr>
        <w:t>2</w:t>
      </w:r>
      <w:r w:rsidRPr="00E65648">
        <w:rPr>
          <w:rFonts w:ascii="Times New Roman" w:hAnsi="Times New Roman" w:cs="Times New Roman"/>
          <w:sz w:val="20"/>
          <w:szCs w:val="20"/>
          <w:lang w:val="en-GB" w:bidi="ne-NP"/>
        </w:rPr>
        <w:t>.6</w:t>
      </w:r>
      <w:r>
        <w:rPr>
          <w:rFonts w:ascii="Times New Roman" w:hAnsi="Times New Roman" w:cs="Times New Roman"/>
          <w:sz w:val="20"/>
          <w:szCs w:val="20"/>
          <w:lang w:val="en-GB" w:bidi="ne-NP"/>
        </w:rPr>
        <w:t>4</w:t>
      </w:r>
      <w:r w:rsidRPr="00E65648">
        <w:rPr>
          <w:rFonts w:ascii="Times New Roman" w:hAnsi="Times New Roman" w:cs="Times New Roman"/>
          <w:sz w:val="20"/>
          <w:szCs w:val="20"/>
          <w:lang w:val="en-GB" w:bidi="ne-NP"/>
        </w:rPr>
        <w:t>x10</w:t>
      </w:r>
      <w:r w:rsidRPr="00E65648">
        <w:rPr>
          <w:rFonts w:ascii="Times New Roman" w:hAnsi="Times New Roman" w:cs="Times New Roman"/>
          <w:sz w:val="20"/>
          <w:szCs w:val="20"/>
          <w:vertAlign w:val="superscript"/>
          <w:lang w:val="en-GB" w:bidi="ne-NP"/>
        </w:rPr>
        <w:t>-2</w:t>
      </w:r>
      <w:r>
        <w:rPr>
          <w:rFonts w:ascii="Times New Roman" w:hAnsi="Times New Roman" w:cs="Times New Roman"/>
          <w:sz w:val="20"/>
          <w:szCs w:val="20"/>
          <w:vertAlign w:val="superscript"/>
          <w:lang w:val="en-GB" w:bidi="ne-NP"/>
        </w:rPr>
        <w:t>0</w:t>
      </w:r>
      <w:r w:rsidRPr="00E65648">
        <w:rPr>
          <w:rFonts w:ascii="Times New Roman" w:hAnsi="Times New Roman" w:cs="Times New Roman"/>
          <w:sz w:val="20"/>
          <w:szCs w:val="20"/>
          <w:lang w:val="en-GB" w:bidi="ne-NP"/>
        </w:rPr>
        <w:t>), indicating that identifying as female was associated with lower SRH compared to identifying as male on both time-points. Secondly, age was negatively associated with both pre-pandemic SRH (</w:t>
      </w:r>
      <w:r w:rsidRPr="00E65648">
        <w:rPr>
          <w:rFonts w:ascii="Times New Roman" w:hAnsi="Times New Roman" w:cs="Times New Roman"/>
          <w:i/>
          <w:iCs/>
          <w:sz w:val="20"/>
          <w:szCs w:val="20"/>
          <w:lang w:val="en-GB" w:bidi="ne-NP"/>
        </w:rPr>
        <w:t>β</w:t>
      </w:r>
      <w:r w:rsidRPr="00E65648">
        <w:rPr>
          <w:rFonts w:ascii="Times New Roman" w:hAnsi="Times New Roman" w:cs="Times New Roman"/>
          <w:sz w:val="20"/>
          <w:szCs w:val="20"/>
          <w:lang w:val="en-GB" w:bidi="ne-NP"/>
        </w:rPr>
        <w:t>=</w:t>
      </w:r>
      <w:r w:rsidRPr="00E65648">
        <w:rPr>
          <w:sz w:val="20"/>
          <w:szCs w:val="20"/>
          <w:lang w:val="en-GB"/>
        </w:rPr>
        <w:t xml:space="preserve"> </w:t>
      </w:r>
      <w:r w:rsidRPr="00E65648">
        <w:rPr>
          <w:rFonts w:ascii="Times New Roman" w:hAnsi="Times New Roman" w:cs="Times New Roman"/>
          <w:sz w:val="20"/>
          <w:szCs w:val="20"/>
          <w:lang w:val="en-GB" w:bidi="ne-NP"/>
        </w:rPr>
        <w:t>-.</w:t>
      </w:r>
      <w:r>
        <w:rPr>
          <w:rFonts w:ascii="Times New Roman" w:hAnsi="Times New Roman" w:cs="Times New Roman"/>
          <w:sz w:val="20"/>
          <w:szCs w:val="20"/>
          <w:lang w:val="en-GB" w:bidi="ne-NP"/>
        </w:rPr>
        <w:t>11</w:t>
      </w:r>
      <w:r w:rsidRPr="00E65648">
        <w:rPr>
          <w:rFonts w:ascii="Times New Roman" w:hAnsi="Times New Roman" w:cs="Times New Roman"/>
          <w:sz w:val="20"/>
          <w:szCs w:val="20"/>
          <w:lang w:val="en-GB" w:bidi="ne-NP"/>
        </w:rPr>
        <w:t xml:space="preserve">, </w:t>
      </w:r>
      <w:r w:rsidRPr="00E65648">
        <w:rPr>
          <w:rFonts w:ascii="Times New Roman" w:hAnsi="Times New Roman" w:cs="Times New Roman"/>
          <w:i/>
          <w:iCs/>
          <w:sz w:val="20"/>
          <w:szCs w:val="20"/>
          <w:lang w:val="en-GB" w:bidi="ne-NP"/>
        </w:rPr>
        <w:t>SD=</w:t>
      </w:r>
      <w:r w:rsidRPr="00E65648">
        <w:rPr>
          <w:rFonts w:ascii="Times New Roman" w:hAnsi="Times New Roman" w:cs="Times New Roman"/>
          <w:sz w:val="20"/>
          <w:szCs w:val="20"/>
          <w:lang w:val="en-GB" w:bidi="ne-NP"/>
        </w:rPr>
        <w:t>.0</w:t>
      </w:r>
      <w:r>
        <w:rPr>
          <w:rFonts w:ascii="Times New Roman" w:hAnsi="Times New Roman" w:cs="Times New Roman"/>
          <w:sz w:val="20"/>
          <w:szCs w:val="20"/>
          <w:lang w:val="en-GB" w:bidi="ne-NP"/>
        </w:rPr>
        <w:t>2</w:t>
      </w:r>
      <w:r w:rsidRPr="00E65648">
        <w:rPr>
          <w:rFonts w:ascii="Times New Roman" w:hAnsi="Times New Roman" w:cs="Times New Roman"/>
          <w:sz w:val="20"/>
          <w:szCs w:val="20"/>
          <w:lang w:val="en-GB" w:bidi="ne-NP"/>
        </w:rPr>
        <w:t xml:space="preserve">, </w:t>
      </w:r>
      <w:r w:rsidRPr="00E65648">
        <w:rPr>
          <w:rFonts w:ascii="Times New Roman" w:hAnsi="Times New Roman" w:cs="Times New Roman"/>
          <w:i/>
          <w:iCs/>
          <w:sz w:val="20"/>
          <w:szCs w:val="20"/>
          <w:lang w:val="en-GB" w:bidi="ne-NP"/>
        </w:rPr>
        <w:t>p</w:t>
      </w:r>
      <w:r w:rsidRPr="00E65648">
        <w:rPr>
          <w:rFonts w:ascii="Times New Roman" w:hAnsi="Times New Roman" w:cs="Times New Roman"/>
          <w:sz w:val="20"/>
          <w:szCs w:val="20"/>
          <w:lang w:val="en-GB" w:bidi="ne-NP"/>
        </w:rPr>
        <w:t>=</w:t>
      </w:r>
      <w:r>
        <w:rPr>
          <w:rFonts w:ascii="Times New Roman" w:hAnsi="Times New Roman" w:cs="Times New Roman"/>
          <w:sz w:val="20"/>
          <w:szCs w:val="20"/>
          <w:lang w:val="en-GB" w:bidi="ne-NP"/>
        </w:rPr>
        <w:t>2</w:t>
      </w:r>
      <w:r w:rsidRPr="00E65648">
        <w:rPr>
          <w:rFonts w:ascii="Times New Roman" w:hAnsi="Times New Roman" w:cs="Times New Roman"/>
          <w:sz w:val="20"/>
          <w:szCs w:val="20"/>
          <w:lang w:val="en-GB" w:bidi="ne-NP"/>
        </w:rPr>
        <w:t>.</w:t>
      </w:r>
      <w:r>
        <w:rPr>
          <w:rFonts w:ascii="Times New Roman" w:hAnsi="Times New Roman" w:cs="Times New Roman"/>
          <w:sz w:val="20"/>
          <w:szCs w:val="20"/>
          <w:lang w:val="en-GB" w:bidi="ne-NP"/>
        </w:rPr>
        <w:t>1</w:t>
      </w:r>
      <w:r w:rsidRPr="00E65648">
        <w:rPr>
          <w:rFonts w:ascii="Times New Roman" w:hAnsi="Times New Roman" w:cs="Times New Roman"/>
          <w:sz w:val="20"/>
          <w:szCs w:val="20"/>
          <w:lang w:val="en-GB" w:bidi="ne-NP"/>
        </w:rPr>
        <w:t>3x10</w:t>
      </w:r>
      <w:r w:rsidRPr="00E65648">
        <w:rPr>
          <w:rFonts w:ascii="Times New Roman" w:hAnsi="Times New Roman" w:cs="Times New Roman"/>
          <w:sz w:val="20"/>
          <w:szCs w:val="20"/>
          <w:vertAlign w:val="superscript"/>
          <w:lang w:val="en-GB" w:bidi="ne-NP"/>
        </w:rPr>
        <w:t>-</w:t>
      </w:r>
      <w:r>
        <w:rPr>
          <w:rFonts w:ascii="Times New Roman" w:hAnsi="Times New Roman" w:cs="Times New Roman"/>
          <w:sz w:val="20"/>
          <w:szCs w:val="20"/>
          <w:vertAlign w:val="superscript"/>
          <w:lang w:val="en-GB" w:bidi="ne-NP"/>
        </w:rPr>
        <w:t>12</w:t>
      </w:r>
      <w:r w:rsidRPr="00E65648">
        <w:rPr>
          <w:rFonts w:ascii="Times New Roman" w:hAnsi="Times New Roman" w:cs="Times New Roman"/>
          <w:sz w:val="20"/>
          <w:szCs w:val="20"/>
          <w:lang w:val="en-GB" w:bidi="ne-NP"/>
        </w:rPr>
        <w:t>) and pandemic SRH (</w:t>
      </w:r>
      <w:r w:rsidRPr="00E65648">
        <w:rPr>
          <w:rFonts w:ascii="Times New Roman" w:hAnsi="Times New Roman" w:cs="Times New Roman"/>
          <w:i/>
          <w:iCs/>
          <w:sz w:val="20"/>
          <w:szCs w:val="20"/>
          <w:lang w:val="en-GB" w:bidi="ne-NP"/>
        </w:rPr>
        <w:t>β</w:t>
      </w:r>
      <w:r w:rsidRPr="00E65648">
        <w:rPr>
          <w:rFonts w:ascii="Times New Roman" w:hAnsi="Times New Roman" w:cs="Times New Roman"/>
          <w:sz w:val="20"/>
          <w:szCs w:val="20"/>
          <w:lang w:val="en-GB" w:bidi="ne-NP"/>
        </w:rPr>
        <w:t xml:space="preserve">=-.07, </w:t>
      </w:r>
      <w:r w:rsidRPr="00E65648">
        <w:rPr>
          <w:rFonts w:ascii="Times New Roman" w:hAnsi="Times New Roman" w:cs="Times New Roman"/>
          <w:i/>
          <w:iCs/>
          <w:sz w:val="20"/>
          <w:szCs w:val="20"/>
          <w:lang w:val="en-GB" w:bidi="ne-NP"/>
        </w:rPr>
        <w:t>SE</w:t>
      </w:r>
      <w:r w:rsidRPr="00E65648">
        <w:rPr>
          <w:rFonts w:ascii="Times New Roman" w:hAnsi="Times New Roman" w:cs="Times New Roman"/>
          <w:sz w:val="20"/>
          <w:szCs w:val="20"/>
          <w:lang w:val="en-GB" w:bidi="ne-NP"/>
        </w:rPr>
        <w:t xml:space="preserve">=.01, </w:t>
      </w:r>
      <w:r w:rsidRPr="00E65648">
        <w:rPr>
          <w:rFonts w:ascii="Times New Roman" w:hAnsi="Times New Roman" w:cs="Times New Roman"/>
          <w:i/>
          <w:iCs/>
          <w:sz w:val="20"/>
          <w:szCs w:val="20"/>
          <w:lang w:val="en-GB" w:bidi="ne-NP"/>
        </w:rPr>
        <w:t>p</w:t>
      </w:r>
      <w:r w:rsidRPr="00E65648">
        <w:rPr>
          <w:rFonts w:ascii="Times New Roman" w:hAnsi="Times New Roman" w:cs="Times New Roman"/>
          <w:sz w:val="20"/>
          <w:szCs w:val="20"/>
          <w:lang w:val="en-GB" w:bidi="ne-NP"/>
        </w:rPr>
        <w:t>=1.</w:t>
      </w:r>
      <w:r>
        <w:rPr>
          <w:rFonts w:ascii="Times New Roman" w:hAnsi="Times New Roman" w:cs="Times New Roman"/>
          <w:sz w:val="20"/>
          <w:szCs w:val="20"/>
          <w:lang w:val="en-GB" w:bidi="ne-NP"/>
        </w:rPr>
        <w:t>06</w:t>
      </w:r>
      <w:r w:rsidRPr="00E65648">
        <w:rPr>
          <w:rFonts w:ascii="Times New Roman" w:hAnsi="Times New Roman" w:cs="Times New Roman"/>
          <w:sz w:val="20"/>
          <w:szCs w:val="20"/>
          <w:lang w:val="en-GB" w:bidi="ne-NP"/>
        </w:rPr>
        <w:t>x10</w:t>
      </w:r>
      <w:r w:rsidRPr="00E65648">
        <w:rPr>
          <w:rFonts w:ascii="Times New Roman" w:hAnsi="Times New Roman" w:cs="Times New Roman"/>
          <w:sz w:val="20"/>
          <w:szCs w:val="20"/>
          <w:vertAlign w:val="superscript"/>
          <w:lang w:val="en-GB" w:bidi="ne-NP"/>
        </w:rPr>
        <w:t>-</w:t>
      </w:r>
      <w:r>
        <w:rPr>
          <w:rFonts w:ascii="Times New Roman" w:hAnsi="Times New Roman" w:cs="Times New Roman"/>
          <w:sz w:val="20"/>
          <w:szCs w:val="20"/>
          <w:vertAlign w:val="superscript"/>
          <w:lang w:val="en-GB" w:bidi="ne-NP"/>
        </w:rPr>
        <w:t>7</w:t>
      </w:r>
      <w:r w:rsidRPr="00E65648">
        <w:rPr>
          <w:rFonts w:ascii="Times New Roman" w:hAnsi="Times New Roman" w:cs="Times New Roman"/>
          <w:sz w:val="20"/>
          <w:szCs w:val="20"/>
          <w:lang w:val="en-GB" w:bidi="ne-NP"/>
        </w:rPr>
        <w:t>), i.e. older age was associated with lower levels of SRH before and during the pandemic. Thirdly, having one or more chronic illnesses is associated with lower SRH before the pandemic (</w:t>
      </w:r>
      <w:r w:rsidRPr="00E65648">
        <w:rPr>
          <w:rFonts w:ascii="Times New Roman" w:hAnsi="Times New Roman" w:cs="Times New Roman"/>
          <w:i/>
          <w:iCs/>
          <w:sz w:val="20"/>
          <w:szCs w:val="20"/>
          <w:lang w:val="en-GB" w:bidi="ne-NP"/>
        </w:rPr>
        <w:t>β</w:t>
      </w:r>
      <w:r w:rsidRPr="00E65648">
        <w:rPr>
          <w:rFonts w:ascii="Times New Roman" w:hAnsi="Times New Roman" w:cs="Times New Roman"/>
          <w:sz w:val="20"/>
          <w:szCs w:val="20"/>
          <w:lang w:val="en-GB" w:bidi="ne-NP"/>
        </w:rPr>
        <w:t>=</w:t>
      </w:r>
      <w:r w:rsidRPr="00E65648">
        <w:rPr>
          <w:sz w:val="20"/>
          <w:szCs w:val="20"/>
          <w:lang w:val="en-GB"/>
        </w:rPr>
        <w:t xml:space="preserve"> </w:t>
      </w:r>
      <w:r w:rsidRPr="00E65648">
        <w:rPr>
          <w:rFonts w:ascii="Times New Roman" w:hAnsi="Times New Roman" w:cs="Times New Roman"/>
          <w:sz w:val="20"/>
          <w:szCs w:val="20"/>
          <w:lang w:val="en-GB" w:bidi="ne-NP"/>
        </w:rPr>
        <w:t>-.7</w:t>
      </w:r>
      <w:r>
        <w:rPr>
          <w:rFonts w:ascii="Times New Roman" w:hAnsi="Times New Roman" w:cs="Times New Roman"/>
          <w:sz w:val="20"/>
          <w:szCs w:val="20"/>
          <w:lang w:val="en-GB" w:bidi="ne-NP"/>
        </w:rPr>
        <w:t>6</w:t>
      </w:r>
      <w:r w:rsidRPr="00E65648">
        <w:rPr>
          <w:rFonts w:ascii="Times New Roman" w:hAnsi="Times New Roman" w:cs="Times New Roman"/>
          <w:sz w:val="20"/>
          <w:szCs w:val="20"/>
          <w:lang w:val="en-GB" w:bidi="ne-NP"/>
        </w:rPr>
        <w:t xml:space="preserve">, </w:t>
      </w:r>
      <w:r w:rsidRPr="00E65648">
        <w:rPr>
          <w:rFonts w:ascii="Times New Roman" w:hAnsi="Times New Roman" w:cs="Times New Roman"/>
          <w:i/>
          <w:iCs/>
          <w:sz w:val="20"/>
          <w:szCs w:val="20"/>
          <w:lang w:val="en-GB" w:bidi="ne-NP"/>
        </w:rPr>
        <w:t>SD</w:t>
      </w:r>
      <w:r w:rsidRPr="00E65648">
        <w:rPr>
          <w:rFonts w:ascii="Times New Roman" w:hAnsi="Times New Roman" w:cs="Times New Roman"/>
          <w:sz w:val="20"/>
          <w:szCs w:val="20"/>
          <w:lang w:val="en-GB" w:bidi="ne-NP"/>
        </w:rPr>
        <w:t xml:space="preserve">=.03, </w:t>
      </w:r>
      <w:r w:rsidRPr="00E65648">
        <w:rPr>
          <w:rFonts w:ascii="Times New Roman" w:hAnsi="Times New Roman" w:cs="Times New Roman"/>
          <w:i/>
          <w:iCs/>
          <w:sz w:val="20"/>
          <w:szCs w:val="20"/>
          <w:lang w:val="en-GB" w:bidi="ne-NP"/>
        </w:rPr>
        <w:t>p</w:t>
      </w:r>
      <w:r w:rsidRPr="00E65648">
        <w:rPr>
          <w:rFonts w:ascii="Times New Roman" w:hAnsi="Times New Roman" w:cs="Times New Roman"/>
          <w:sz w:val="20"/>
          <w:szCs w:val="20"/>
          <w:lang w:val="en-GB" w:bidi="ne-NP"/>
        </w:rPr>
        <w:t>=</w:t>
      </w:r>
      <w:r>
        <w:rPr>
          <w:rFonts w:ascii="Times New Roman" w:hAnsi="Times New Roman" w:cs="Times New Roman"/>
          <w:sz w:val="20"/>
          <w:szCs w:val="20"/>
          <w:lang w:val="en-GB" w:bidi="ne-NP"/>
        </w:rPr>
        <w:t>1</w:t>
      </w:r>
      <w:r w:rsidRPr="00E65648">
        <w:rPr>
          <w:rFonts w:ascii="Times New Roman" w:hAnsi="Times New Roman" w:cs="Times New Roman"/>
          <w:sz w:val="20"/>
          <w:szCs w:val="20"/>
          <w:lang w:val="en-GB" w:bidi="ne-NP"/>
        </w:rPr>
        <w:t>.</w:t>
      </w:r>
      <w:r>
        <w:rPr>
          <w:rFonts w:ascii="Times New Roman" w:hAnsi="Times New Roman" w:cs="Times New Roman"/>
          <w:sz w:val="20"/>
          <w:szCs w:val="20"/>
          <w:lang w:val="en-GB" w:bidi="ne-NP"/>
        </w:rPr>
        <w:t>57</w:t>
      </w:r>
      <w:r w:rsidRPr="00E65648">
        <w:rPr>
          <w:rFonts w:ascii="Times New Roman" w:hAnsi="Times New Roman" w:cs="Times New Roman"/>
          <w:sz w:val="20"/>
          <w:szCs w:val="20"/>
          <w:lang w:val="en-GB" w:bidi="ne-NP"/>
        </w:rPr>
        <w:t>x10</w:t>
      </w:r>
      <w:r w:rsidRPr="00E65648">
        <w:rPr>
          <w:rFonts w:ascii="Times New Roman" w:hAnsi="Times New Roman" w:cs="Times New Roman"/>
          <w:sz w:val="20"/>
          <w:szCs w:val="20"/>
          <w:vertAlign w:val="superscript"/>
          <w:lang w:val="en-GB" w:bidi="ne-NP"/>
        </w:rPr>
        <w:t>-8</w:t>
      </w:r>
      <w:r>
        <w:rPr>
          <w:rFonts w:ascii="Times New Roman" w:hAnsi="Times New Roman" w:cs="Times New Roman"/>
          <w:sz w:val="20"/>
          <w:szCs w:val="20"/>
          <w:vertAlign w:val="superscript"/>
          <w:lang w:val="en-GB" w:bidi="ne-NP"/>
        </w:rPr>
        <w:t>5</w:t>
      </w:r>
      <w:r w:rsidRPr="00E65648">
        <w:rPr>
          <w:rFonts w:ascii="Times New Roman" w:hAnsi="Times New Roman" w:cs="Times New Roman"/>
          <w:sz w:val="20"/>
          <w:szCs w:val="20"/>
          <w:lang w:val="en-GB" w:bidi="ne-NP"/>
        </w:rPr>
        <w:t>) as well as during the pandemic (</w:t>
      </w:r>
      <w:r w:rsidRPr="00E65648">
        <w:rPr>
          <w:rFonts w:ascii="Times New Roman" w:hAnsi="Times New Roman" w:cs="Times New Roman"/>
          <w:i/>
          <w:iCs/>
          <w:sz w:val="20"/>
          <w:szCs w:val="20"/>
          <w:lang w:val="en-GB" w:bidi="ne-NP"/>
        </w:rPr>
        <w:t>β</w:t>
      </w:r>
      <w:r w:rsidRPr="00E65648">
        <w:rPr>
          <w:rFonts w:ascii="Times New Roman" w:hAnsi="Times New Roman" w:cs="Times New Roman"/>
          <w:sz w:val="20"/>
          <w:szCs w:val="20"/>
          <w:lang w:val="en-GB" w:bidi="ne-NP"/>
        </w:rPr>
        <w:t xml:space="preserve">=-.81, </w:t>
      </w:r>
      <w:r w:rsidRPr="00E65648">
        <w:rPr>
          <w:rFonts w:ascii="Times New Roman" w:hAnsi="Times New Roman" w:cs="Times New Roman"/>
          <w:i/>
          <w:iCs/>
          <w:sz w:val="20"/>
          <w:szCs w:val="20"/>
          <w:lang w:val="en-GB" w:bidi="ne-NP"/>
        </w:rPr>
        <w:t>SE</w:t>
      </w:r>
      <w:r w:rsidRPr="00E65648">
        <w:rPr>
          <w:rFonts w:ascii="Times New Roman" w:hAnsi="Times New Roman" w:cs="Times New Roman"/>
          <w:sz w:val="20"/>
          <w:szCs w:val="20"/>
          <w:lang w:val="en-GB" w:bidi="ne-NP"/>
        </w:rPr>
        <w:t>=.03,</w:t>
      </w:r>
      <w:r w:rsidRPr="00E65648">
        <w:rPr>
          <w:rFonts w:ascii="Times New Roman" w:hAnsi="Times New Roman" w:cs="Times New Roman"/>
          <w:i/>
          <w:iCs/>
          <w:sz w:val="20"/>
          <w:szCs w:val="20"/>
          <w:lang w:val="en-GB" w:bidi="ne-NP"/>
        </w:rPr>
        <w:t xml:space="preserve"> p</w:t>
      </w:r>
      <w:r w:rsidRPr="00E65648">
        <w:rPr>
          <w:rFonts w:ascii="Times New Roman" w:hAnsi="Times New Roman" w:cs="Times New Roman"/>
          <w:sz w:val="20"/>
          <w:szCs w:val="20"/>
          <w:lang w:val="en-GB" w:bidi="ne-NP"/>
        </w:rPr>
        <w:t>=</w:t>
      </w:r>
      <w:r>
        <w:rPr>
          <w:rFonts w:ascii="Times New Roman" w:hAnsi="Times New Roman" w:cs="Times New Roman"/>
          <w:sz w:val="20"/>
          <w:szCs w:val="20"/>
          <w:lang w:val="en-GB" w:bidi="ne-NP"/>
        </w:rPr>
        <w:t>1.64</w:t>
      </w:r>
      <w:r w:rsidRPr="00E65648">
        <w:rPr>
          <w:rFonts w:ascii="Times New Roman" w:hAnsi="Times New Roman" w:cs="Times New Roman"/>
          <w:sz w:val="20"/>
          <w:szCs w:val="20"/>
          <w:lang w:val="en-GB" w:bidi="ne-NP"/>
        </w:rPr>
        <w:t>x10</w:t>
      </w:r>
      <w:r w:rsidRPr="00E65648">
        <w:rPr>
          <w:rFonts w:ascii="Times New Roman" w:hAnsi="Times New Roman" w:cs="Times New Roman"/>
          <w:sz w:val="20"/>
          <w:szCs w:val="20"/>
          <w:vertAlign w:val="superscript"/>
          <w:lang w:val="en-GB" w:bidi="ne-NP"/>
        </w:rPr>
        <w:t>-</w:t>
      </w:r>
      <w:r>
        <w:rPr>
          <w:rFonts w:ascii="Times New Roman" w:hAnsi="Times New Roman" w:cs="Times New Roman"/>
          <w:sz w:val="20"/>
          <w:szCs w:val="20"/>
          <w:vertAlign w:val="superscript"/>
          <w:lang w:val="en-GB" w:bidi="ne-NP"/>
        </w:rPr>
        <w:t>149</w:t>
      </w:r>
      <w:r w:rsidRPr="00E65648">
        <w:rPr>
          <w:rFonts w:ascii="Times New Roman" w:hAnsi="Times New Roman" w:cs="Times New Roman"/>
          <w:sz w:val="20"/>
          <w:szCs w:val="20"/>
          <w:lang w:val="en-GB" w:bidi="ne-NP"/>
        </w:rPr>
        <w:t>). Lastly, EA was positively associated with SRH before (</w:t>
      </w:r>
      <w:r w:rsidRPr="00E65648">
        <w:rPr>
          <w:rFonts w:ascii="Times New Roman" w:hAnsi="Times New Roman" w:cs="Times New Roman"/>
          <w:i/>
          <w:iCs/>
          <w:sz w:val="20"/>
          <w:szCs w:val="20"/>
          <w:lang w:val="en-GB" w:bidi="ne-NP"/>
        </w:rPr>
        <w:t>β</w:t>
      </w:r>
      <w:r w:rsidRPr="00E65648">
        <w:rPr>
          <w:rFonts w:ascii="Times New Roman" w:hAnsi="Times New Roman" w:cs="Times New Roman"/>
          <w:sz w:val="20"/>
          <w:szCs w:val="20"/>
          <w:lang w:val="en-GB" w:bidi="ne-NP"/>
        </w:rPr>
        <w:t>=.13,</w:t>
      </w:r>
      <w:r w:rsidRPr="00E65648">
        <w:rPr>
          <w:rFonts w:ascii="Times New Roman" w:hAnsi="Times New Roman" w:cs="Times New Roman"/>
          <w:i/>
          <w:iCs/>
          <w:sz w:val="20"/>
          <w:szCs w:val="20"/>
          <w:lang w:val="en-GB" w:bidi="ne-NP"/>
        </w:rPr>
        <w:t>SE</w:t>
      </w:r>
      <w:r w:rsidRPr="00E65648">
        <w:rPr>
          <w:rFonts w:ascii="Times New Roman" w:hAnsi="Times New Roman" w:cs="Times New Roman"/>
          <w:sz w:val="20"/>
          <w:szCs w:val="20"/>
          <w:lang w:val="en-GB" w:bidi="ne-NP"/>
        </w:rPr>
        <w:t xml:space="preserve">=.02, </w:t>
      </w:r>
      <w:r w:rsidRPr="00E65648">
        <w:rPr>
          <w:rFonts w:ascii="Times New Roman" w:hAnsi="Times New Roman" w:cs="Times New Roman"/>
          <w:i/>
          <w:iCs/>
          <w:sz w:val="20"/>
          <w:szCs w:val="20"/>
          <w:lang w:val="en-GB" w:bidi="ne-NP"/>
        </w:rPr>
        <w:t>p</w:t>
      </w:r>
      <w:r w:rsidRPr="00E65648">
        <w:rPr>
          <w:rFonts w:ascii="Times New Roman" w:hAnsi="Times New Roman" w:cs="Times New Roman"/>
          <w:sz w:val="20"/>
          <w:szCs w:val="20"/>
          <w:lang w:val="en-GB" w:bidi="ne-NP"/>
        </w:rPr>
        <w:t>=1.</w:t>
      </w:r>
      <w:r>
        <w:rPr>
          <w:rFonts w:ascii="Times New Roman" w:hAnsi="Times New Roman" w:cs="Times New Roman"/>
          <w:sz w:val="20"/>
          <w:szCs w:val="20"/>
          <w:lang w:val="en-GB" w:bidi="ne-NP"/>
        </w:rPr>
        <w:t>50</w:t>
      </w:r>
      <w:r w:rsidRPr="00E65648">
        <w:rPr>
          <w:rFonts w:ascii="Times New Roman" w:hAnsi="Times New Roman" w:cs="Times New Roman"/>
          <w:sz w:val="20"/>
          <w:szCs w:val="20"/>
          <w:lang w:val="en-GB" w:bidi="ne-NP"/>
        </w:rPr>
        <w:t>x10</w:t>
      </w:r>
      <w:r w:rsidRPr="00E65648">
        <w:rPr>
          <w:rFonts w:ascii="Times New Roman" w:hAnsi="Times New Roman" w:cs="Times New Roman"/>
          <w:sz w:val="20"/>
          <w:szCs w:val="20"/>
          <w:vertAlign w:val="superscript"/>
          <w:lang w:val="en-GB" w:bidi="ne-NP"/>
        </w:rPr>
        <w:t>-</w:t>
      </w:r>
      <w:r>
        <w:rPr>
          <w:rFonts w:ascii="Times New Roman" w:hAnsi="Times New Roman" w:cs="Times New Roman"/>
          <w:sz w:val="20"/>
          <w:szCs w:val="20"/>
          <w:vertAlign w:val="superscript"/>
          <w:lang w:val="en-GB" w:bidi="ne-NP"/>
        </w:rPr>
        <w:t>12</w:t>
      </w:r>
      <w:r w:rsidRPr="00E65648">
        <w:rPr>
          <w:rFonts w:ascii="Times New Roman" w:hAnsi="Times New Roman" w:cs="Times New Roman"/>
          <w:sz w:val="20"/>
          <w:szCs w:val="20"/>
          <w:lang w:val="en-GB" w:bidi="ne-NP"/>
        </w:rPr>
        <w:t>) and during the pandemic (</w:t>
      </w:r>
      <w:r w:rsidRPr="00E65648">
        <w:rPr>
          <w:rFonts w:ascii="Times New Roman" w:hAnsi="Times New Roman" w:cs="Times New Roman"/>
          <w:i/>
          <w:iCs/>
          <w:sz w:val="20"/>
          <w:szCs w:val="20"/>
          <w:lang w:val="en-GB" w:bidi="ne-NP"/>
        </w:rPr>
        <w:t>β</w:t>
      </w:r>
      <w:r w:rsidRPr="00E65648">
        <w:rPr>
          <w:rFonts w:ascii="Times New Roman" w:hAnsi="Times New Roman" w:cs="Times New Roman"/>
          <w:sz w:val="20"/>
          <w:szCs w:val="20"/>
          <w:lang w:val="en-GB" w:bidi="ne-NP"/>
        </w:rPr>
        <w:t>=.1</w:t>
      </w:r>
      <w:r>
        <w:rPr>
          <w:rFonts w:ascii="Times New Roman" w:hAnsi="Times New Roman" w:cs="Times New Roman"/>
          <w:sz w:val="20"/>
          <w:szCs w:val="20"/>
          <w:lang w:val="en-GB" w:bidi="ne-NP"/>
        </w:rPr>
        <w:t>2</w:t>
      </w:r>
      <w:r w:rsidRPr="00E65648">
        <w:rPr>
          <w:rFonts w:ascii="Times New Roman" w:hAnsi="Times New Roman" w:cs="Times New Roman"/>
          <w:sz w:val="20"/>
          <w:szCs w:val="20"/>
          <w:lang w:val="en-GB" w:bidi="ne-NP"/>
        </w:rPr>
        <w:t>,</w:t>
      </w:r>
      <w:r w:rsidRPr="00E65648">
        <w:rPr>
          <w:rFonts w:ascii="Times New Roman" w:hAnsi="Times New Roman" w:cs="Times New Roman"/>
          <w:i/>
          <w:iCs/>
          <w:sz w:val="20"/>
          <w:szCs w:val="20"/>
          <w:lang w:val="en-GB" w:bidi="ne-NP"/>
        </w:rPr>
        <w:t>SE</w:t>
      </w:r>
      <w:r w:rsidRPr="00E65648">
        <w:rPr>
          <w:rFonts w:ascii="Times New Roman" w:hAnsi="Times New Roman" w:cs="Times New Roman"/>
          <w:sz w:val="20"/>
          <w:szCs w:val="20"/>
          <w:lang w:val="en-GB" w:bidi="ne-NP"/>
        </w:rPr>
        <w:t xml:space="preserve">=.01, </w:t>
      </w:r>
      <w:r w:rsidRPr="00E65648">
        <w:rPr>
          <w:rFonts w:ascii="Times New Roman" w:hAnsi="Times New Roman" w:cs="Times New Roman"/>
          <w:i/>
          <w:iCs/>
          <w:sz w:val="20"/>
          <w:szCs w:val="20"/>
          <w:lang w:val="en-GB" w:bidi="ne-NP"/>
        </w:rPr>
        <w:t>p</w:t>
      </w:r>
      <w:r w:rsidRPr="00E65648">
        <w:rPr>
          <w:rFonts w:ascii="Times New Roman" w:hAnsi="Times New Roman" w:cs="Times New Roman"/>
          <w:sz w:val="20"/>
          <w:szCs w:val="20"/>
          <w:lang w:val="en-GB" w:bidi="ne-NP"/>
        </w:rPr>
        <w:t>=</w:t>
      </w:r>
      <w:r>
        <w:rPr>
          <w:rFonts w:ascii="Times New Roman" w:hAnsi="Times New Roman" w:cs="Times New Roman"/>
          <w:sz w:val="20"/>
          <w:szCs w:val="20"/>
          <w:lang w:val="en-GB" w:bidi="ne-NP"/>
        </w:rPr>
        <w:t>3</w:t>
      </w:r>
      <w:r w:rsidRPr="00E65648">
        <w:rPr>
          <w:rFonts w:ascii="Times New Roman" w:hAnsi="Times New Roman" w:cs="Times New Roman"/>
          <w:sz w:val="20"/>
          <w:szCs w:val="20"/>
          <w:lang w:val="en-GB" w:bidi="ne-NP"/>
        </w:rPr>
        <w:t>.</w:t>
      </w:r>
      <w:r>
        <w:rPr>
          <w:rFonts w:ascii="Times New Roman" w:hAnsi="Times New Roman" w:cs="Times New Roman"/>
          <w:sz w:val="20"/>
          <w:szCs w:val="20"/>
          <w:lang w:val="en-GB" w:bidi="ne-NP"/>
        </w:rPr>
        <w:t>68</w:t>
      </w:r>
      <w:r w:rsidRPr="00E65648">
        <w:rPr>
          <w:rFonts w:ascii="Times New Roman" w:hAnsi="Times New Roman" w:cs="Times New Roman"/>
          <w:sz w:val="20"/>
          <w:szCs w:val="20"/>
          <w:lang w:val="en-GB" w:bidi="ne-NP"/>
        </w:rPr>
        <w:t>x10</w:t>
      </w:r>
      <w:r w:rsidRPr="00E65648">
        <w:rPr>
          <w:rFonts w:ascii="Times New Roman" w:hAnsi="Times New Roman" w:cs="Times New Roman"/>
          <w:sz w:val="20"/>
          <w:szCs w:val="20"/>
          <w:vertAlign w:val="superscript"/>
          <w:lang w:val="en-GB" w:bidi="ne-NP"/>
        </w:rPr>
        <w:t>-16</w:t>
      </w:r>
      <w:r w:rsidRPr="00E65648">
        <w:rPr>
          <w:rFonts w:ascii="Times New Roman" w:hAnsi="Times New Roman" w:cs="Times New Roman"/>
          <w:sz w:val="20"/>
          <w:szCs w:val="20"/>
          <w:lang w:val="en-GB" w:bidi="ne-NP"/>
        </w:rPr>
        <w:t xml:space="preserve">), indicating that higher EA is associated with higher levels of SRH. However, none of the predictors significantly predicted the SRH difference scores reflecting the change in SRH from pre-pandemic to the pandemic situation. </w:t>
      </w:r>
    </w:p>
    <w:p w14:paraId="1990CB84" w14:textId="77777777" w:rsidR="00E65648" w:rsidRPr="00E65648" w:rsidRDefault="00E65648" w:rsidP="00E65648">
      <w:pPr>
        <w:spacing w:line="480" w:lineRule="auto"/>
        <w:jc w:val="both"/>
        <w:rPr>
          <w:rFonts w:ascii="Times New Roman" w:hAnsi="Times New Roman" w:cs="Times New Roman"/>
          <w:sz w:val="20"/>
          <w:szCs w:val="20"/>
          <w:lang w:val="en-GB" w:bidi="ne-NP"/>
        </w:rPr>
      </w:pPr>
    </w:p>
    <w:tbl>
      <w:tblPr>
        <w:tblpPr w:leftFromText="141" w:rightFromText="141" w:vertAnchor="text" w:horzAnchor="margin" w:tblpY="-283"/>
        <w:tblW w:w="7655" w:type="dxa"/>
        <w:tblCellMar>
          <w:left w:w="70" w:type="dxa"/>
          <w:right w:w="70" w:type="dxa"/>
        </w:tblCellMar>
        <w:tblLook w:val="04A0" w:firstRow="1" w:lastRow="0" w:firstColumn="1" w:lastColumn="0" w:noHBand="0" w:noVBand="1"/>
      </w:tblPr>
      <w:tblGrid>
        <w:gridCol w:w="2552"/>
        <w:gridCol w:w="1448"/>
        <w:gridCol w:w="253"/>
        <w:gridCol w:w="1080"/>
        <w:gridCol w:w="814"/>
        <w:gridCol w:w="1508"/>
      </w:tblGrid>
      <w:tr w:rsidR="00E65648" w:rsidRPr="00E65648" w14:paraId="1383B659" w14:textId="77777777" w:rsidTr="00E65648">
        <w:trPr>
          <w:gridAfter w:val="1"/>
          <w:wAfter w:w="1508" w:type="dxa"/>
          <w:trHeight w:val="300"/>
        </w:trPr>
        <w:tc>
          <w:tcPr>
            <w:tcW w:w="2552" w:type="dxa"/>
            <w:tcBorders>
              <w:top w:val="nil"/>
              <w:left w:val="nil"/>
              <w:bottom w:val="nil"/>
              <w:right w:val="nil"/>
            </w:tcBorders>
            <w:shd w:val="clear" w:color="auto" w:fill="auto"/>
            <w:noWrap/>
            <w:vAlign w:val="bottom"/>
            <w:hideMark/>
          </w:tcPr>
          <w:p w14:paraId="3FE55B31" w14:textId="77777777" w:rsidR="00E65648" w:rsidRPr="00E65648" w:rsidRDefault="00E65648" w:rsidP="00E65648">
            <w:pPr>
              <w:spacing w:after="0" w:line="240" w:lineRule="auto"/>
              <w:rPr>
                <w:rFonts w:ascii="Times New Roman" w:eastAsia="Times New Roman" w:hAnsi="Times New Roman" w:cs="Times New Roman"/>
                <w:b/>
                <w:bCs/>
                <w:color w:val="000000"/>
                <w:sz w:val="20"/>
                <w:szCs w:val="20"/>
                <w:lang w:val="en-GB" w:eastAsia="nl-NL" w:bidi="ne-NP"/>
              </w:rPr>
            </w:pPr>
            <w:r w:rsidRPr="00E65648">
              <w:rPr>
                <w:rFonts w:ascii="Times New Roman" w:eastAsia="Times New Roman" w:hAnsi="Times New Roman" w:cs="Times New Roman"/>
                <w:b/>
                <w:bCs/>
                <w:color w:val="000000"/>
                <w:sz w:val="20"/>
                <w:szCs w:val="20"/>
                <w:lang w:val="en-GB" w:eastAsia="nl-NL" w:bidi="ne-NP"/>
              </w:rPr>
              <w:t>Supplementary Table 1</w:t>
            </w:r>
          </w:p>
        </w:tc>
        <w:tc>
          <w:tcPr>
            <w:tcW w:w="1448" w:type="dxa"/>
            <w:tcBorders>
              <w:top w:val="nil"/>
              <w:left w:val="nil"/>
              <w:bottom w:val="nil"/>
              <w:right w:val="nil"/>
            </w:tcBorders>
            <w:shd w:val="clear" w:color="auto" w:fill="auto"/>
            <w:noWrap/>
            <w:vAlign w:val="bottom"/>
            <w:hideMark/>
          </w:tcPr>
          <w:p w14:paraId="5CE84F40" w14:textId="77777777" w:rsidR="00E65648" w:rsidRPr="00E65648" w:rsidRDefault="00E65648" w:rsidP="00E65648">
            <w:pPr>
              <w:spacing w:after="0" w:line="240" w:lineRule="auto"/>
              <w:rPr>
                <w:rFonts w:ascii="Times New Roman" w:eastAsia="Times New Roman" w:hAnsi="Times New Roman" w:cs="Times New Roman"/>
                <w:b/>
                <w:bCs/>
                <w:color w:val="000000"/>
                <w:sz w:val="20"/>
                <w:szCs w:val="20"/>
                <w:lang w:val="en-GB" w:eastAsia="nl-NL" w:bidi="ne-NP"/>
              </w:rPr>
            </w:pPr>
          </w:p>
        </w:tc>
        <w:tc>
          <w:tcPr>
            <w:tcW w:w="1333" w:type="dxa"/>
            <w:gridSpan w:val="2"/>
            <w:tcBorders>
              <w:top w:val="nil"/>
              <w:left w:val="nil"/>
              <w:bottom w:val="nil"/>
              <w:right w:val="nil"/>
            </w:tcBorders>
            <w:shd w:val="clear" w:color="auto" w:fill="auto"/>
            <w:noWrap/>
            <w:vAlign w:val="bottom"/>
            <w:hideMark/>
          </w:tcPr>
          <w:p w14:paraId="57352C08" w14:textId="77777777" w:rsidR="00E65648" w:rsidRPr="00E65648" w:rsidRDefault="00E65648" w:rsidP="00E65648">
            <w:pPr>
              <w:spacing w:after="0" w:line="240" w:lineRule="auto"/>
              <w:rPr>
                <w:rFonts w:ascii="Times New Roman" w:eastAsia="Times New Roman" w:hAnsi="Times New Roman" w:cs="Times New Roman"/>
                <w:sz w:val="20"/>
                <w:szCs w:val="20"/>
                <w:lang w:val="en-GB" w:eastAsia="nl-NL" w:bidi="ne-NP"/>
              </w:rPr>
            </w:pPr>
          </w:p>
        </w:tc>
        <w:tc>
          <w:tcPr>
            <w:tcW w:w="814" w:type="dxa"/>
            <w:tcBorders>
              <w:top w:val="nil"/>
              <w:left w:val="nil"/>
              <w:bottom w:val="nil"/>
              <w:right w:val="nil"/>
            </w:tcBorders>
            <w:shd w:val="clear" w:color="auto" w:fill="auto"/>
            <w:noWrap/>
            <w:vAlign w:val="bottom"/>
            <w:hideMark/>
          </w:tcPr>
          <w:p w14:paraId="2DE70A52" w14:textId="77777777" w:rsidR="00E65648" w:rsidRPr="00E65648" w:rsidRDefault="00E65648" w:rsidP="00E65648">
            <w:pPr>
              <w:spacing w:after="0" w:line="240" w:lineRule="auto"/>
              <w:rPr>
                <w:rFonts w:ascii="Times New Roman" w:eastAsia="Times New Roman" w:hAnsi="Times New Roman" w:cs="Times New Roman"/>
                <w:sz w:val="20"/>
                <w:szCs w:val="20"/>
                <w:lang w:val="en-GB" w:eastAsia="nl-NL" w:bidi="ne-NP"/>
              </w:rPr>
            </w:pPr>
          </w:p>
        </w:tc>
      </w:tr>
      <w:tr w:rsidR="00E65648" w:rsidRPr="00E65648" w14:paraId="67E0CEDD" w14:textId="77777777" w:rsidTr="00E65648">
        <w:trPr>
          <w:gridAfter w:val="1"/>
          <w:wAfter w:w="1508" w:type="dxa"/>
          <w:trHeight w:val="315"/>
        </w:trPr>
        <w:tc>
          <w:tcPr>
            <w:tcW w:w="4000" w:type="dxa"/>
            <w:gridSpan w:val="2"/>
            <w:tcBorders>
              <w:top w:val="nil"/>
              <w:left w:val="nil"/>
              <w:bottom w:val="nil"/>
              <w:right w:val="nil"/>
            </w:tcBorders>
            <w:shd w:val="clear" w:color="auto" w:fill="auto"/>
            <w:noWrap/>
            <w:vAlign w:val="bottom"/>
            <w:hideMark/>
          </w:tcPr>
          <w:p w14:paraId="3EF71D8B" w14:textId="77777777" w:rsidR="00E65648" w:rsidRPr="00E65648" w:rsidRDefault="00E65648" w:rsidP="00E65648">
            <w:pPr>
              <w:spacing w:after="0" w:line="240" w:lineRule="auto"/>
              <w:rPr>
                <w:rFonts w:ascii="Times New Roman" w:eastAsia="Times New Roman" w:hAnsi="Times New Roman" w:cs="Times New Roman"/>
                <w:color w:val="000000"/>
                <w:sz w:val="20"/>
                <w:szCs w:val="20"/>
                <w:lang w:val="en-GB" w:eastAsia="nl-NL" w:bidi="ne-NP"/>
              </w:rPr>
            </w:pPr>
            <w:r w:rsidRPr="00E65648">
              <w:rPr>
                <w:rFonts w:ascii="Times New Roman" w:eastAsia="Times New Roman" w:hAnsi="Times New Roman" w:cs="Times New Roman"/>
                <w:color w:val="000000"/>
                <w:sz w:val="20"/>
                <w:szCs w:val="20"/>
                <w:lang w:val="en-GB" w:eastAsia="nl-NL" w:bidi="ne-NP"/>
              </w:rPr>
              <w:t>Results from the GEE analyses.</w:t>
            </w:r>
          </w:p>
        </w:tc>
        <w:tc>
          <w:tcPr>
            <w:tcW w:w="1333" w:type="dxa"/>
            <w:gridSpan w:val="2"/>
            <w:tcBorders>
              <w:top w:val="nil"/>
              <w:left w:val="nil"/>
              <w:bottom w:val="nil"/>
              <w:right w:val="nil"/>
            </w:tcBorders>
            <w:shd w:val="clear" w:color="auto" w:fill="auto"/>
            <w:noWrap/>
            <w:vAlign w:val="bottom"/>
            <w:hideMark/>
          </w:tcPr>
          <w:p w14:paraId="29353397" w14:textId="77777777" w:rsidR="00E65648" w:rsidRPr="00E65648" w:rsidRDefault="00E65648" w:rsidP="00E65648">
            <w:pPr>
              <w:spacing w:after="0" w:line="240" w:lineRule="auto"/>
              <w:rPr>
                <w:rFonts w:ascii="Times New Roman" w:eastAsia="Times New Roman" w:hAnsi="Times New Roman" w:cs="Times New Roman"/>
                <w:color w:val="000000"/>
                <w:sz w:val="20"/>
                <w:szCs w:val="20"/>
                <w:lang w:val="en-GB" w:eastAsia="nl-NL" w:bidi="ne-NP"/>
              </w:rPr>
            </w:pPr>
          </w:p>
        </w:tc>
        <w:tc>
          <w:tcPr>
            <w:tcW w:w="814" w:type="dxa"/>
            <w:tcBorders>
              <w:top w:val="nil"/>
              <w:left w:val="nil"/>
              <w:bottom w:val="nil"/>
              <w:right w:val="nil"/>
            </w:tcBorders>
            <w:shd w:val="clear" w:color="auto" w:fill="auto"/>
            <w:noWrap/>
            <w:vAlign w:val="bottom"/>
            <w:hideMark/>
          </w:tcPr>
          <w:p w14:paraId="7908F661" w14:textId="77777777" w:rsidR="00E65648" w:rsidRPr="00E65648" w:rsidRDefault="00E65648" w:rsidP="00E65648">
            <w:pPr>
              <w:spacing w:after="0" w:line="240" w:lineRule="auto"/>
              <w:rPr>
                <w:rFonts w:ascii="Times New Roman" w:eastAsia="Times New Roman" w:hAnsi="Times New Roman" w:cs="Times New Roman"/>
                <w:sz w:val="20"/>
                <w:szCs w:val="20"/>
                <w:lang w:val="en-GB" w:eastAsia="nl-NL" w:bidi="ne-NP"/>
              </w:rPr>
            </w:pPr>
          </w:p>
        </w:tc>
      </w:tr>
      <w:tr w:rsidR="00E65648" w:rsidRPr="00E65648" w14:paraId="75F252AC" w14:textId="77777777" w:rsidTr="00E65648">
        <w:trPr>
          <w:trHeight w:val="315"/>
        </w:trPr>
        <w:tc>
          <w:tcPr>
            <w:tcW w:w="2552" w:type="dxa"/>
            <w:tcBorders>
              <w:top w:val="single" w:sz="12" w:space="0" w:color="auto"/>
              <w:left w:val="nil"/>
              <w:bottom w:val="single" w:sz="12" w:space="0" w:color="auto"/>
              <w:right w:val="nil"/>
            </w:tcBorders>
            <w:shd w:val="clear" w:color="auto" w:fill="auto"/>
            <w:noWrap/>
            <w:vAlign w:val="bottom"/>
            <w:hideMark/>
          </w:tcPr>
          <w:p w14:paraId="366CD638" w14:textId="77777777" w:rsidR="00E65648" w:rsidRPr="00E65648" w:rsidRDefault="00E65648" w:rsidP="00E65648">
            <w:pPr>
              <w:spacing w:after="0" w:line="240" w:lineRule="auto"/>
              <w:rPr>
                <w:rFonts w:ascii="Times New Roman" w:eastAsia="Times New Roman" w:hAnsi="Times New Roman" w:cs="Times New Roman"/>
                <w:color w:val="000000"/>
                <w:sz w:val="20"/>
                <w:szCs w:val="20"/>
                <w:lang w:val="en-GB" w:eastAsia="nl-NL" w:bidi="ne-NP"/>
              </w:rPr>
            </w:pPr>
            <w:r w:rsidRPr="00E65648">
              <w:rPr>
                <w:rFonts w:ascii="Times New Roman" w:eastAsia="Times New Roman" w:hAnsi="Times New Roman" w:cs="Times New Roman"/>
                <w:color w:val="000000"/>
                <w:sz w:val="20"/>
                <w:szCs w:val="20"/>
                <w:lang w:val="en-GB" w:eastAsia="nl-NL" w:bidi="ne-NP"/>
              </w:rPr>
              <w:t> </w:t>
            </w:r>
          </w:p>
        </w:tc>
        <w:tc>
          <w:tcPr>
            <w:tcW w:w="1701" w:type="dxa"/>
            <w:gridSpan w:val="2"/>
            <w:tcBorders>
              <w:top w:val="single" w:sz="12" w:space="0" w:color="auto"/>
              <w:left w:val="nil"/>
              <w:bottom w:val="single" w:sz="12" w:space="0" w:color="auto"/>
              <w:right w:val="nil"/>
            </w:tcBorders>
            <w:shd w:val="clear" w:color="auto" w:fill="auto"/>
            <w:noWrap/>
            <w:vAlign w:val="bottom"/>
            <w:hideMark/>
          </w:tcPr>
          <w:p w14:paraId="0862E555" w14:textId="77777777" w:rsidR="00E65648" w:rsidRPr="00E65648" w:rsidRDefault="00E65648" w:rsidP="00E65648">
            <w:pPr>
              <w:spacing w:after="0" w:line="240" w:lineRule="auto"/>
              <w:jc w:val="center"/>
              <w:rPr>
                <w:rFonts w:eastAsia="Times New Roman" w:cs="Calibri"/>
                <w:b/>
                <w:bCs/>
                <w:color w:val="000000"/>
                <w:sz w:val="20"/>
                <w:szCs w:val="20"/>
                <w:lang w:val="en-GB" w:eastAsia="nl-NL" w:bidi="ne-NP"/>
              </w:rPr>
            </w:pPr>
            <w:r w:rsidRPr="00E65648">
              <w:rPr>
                <w:rFonts w:eastAsia="Times New Roman" w:cs="Calibri"/>
                <w:b/>
                <w:bCs/>
                <w:color w:val="000000"/>
                <w:sz w:val="20"/>
                <w:szCs w:val="20"/>
                <w:lang w:val="en-GB" w:eastAsia="nl-NL" w:bidi="ne-NP"/>
              </w:rPr>
              <w:t>β</w:t>
            </w:r>
            <w:r w:rsidRPr="00E65648">
              <w:rPr>
                <w:rFonts w:ascii="Times New Roman" w:eastAsia="Times New Roman" w:hAnsi="Times New Roman" w:cs="Times New Roman"/>
                <w:b/>
                <w:bCs/>
                <w:color w:val="000000"/>
                <w:sz w:val="20"/>
                <w:szCs w:val="20"/>
                <w:lang w:val="en-GB" w:eastAsia="nl-NL" w:bidi="ne-NP"/>
              </w:rPr>
              <w:t xml:space="preserve"> (SE)</w:t>
            </w:r>
          </w:p>
        </w:tc>
        <w:tc>
          <w:tcPr>
            <w:tcW w:w="1894" w:type="dxa"/>
            <w:gridSpan w:val="2"/>
            <w:tcBorders>
              <w:top w:val="single" w:sz="12" w:space="0" w:color="auto"/>
              <w:left w:val="nil"/>
              <w:bottom w:val="single" w:sz="12" w:space="0" w:color="auto"/>
              <w:right w:val="nil"/>
            </w:tcBorders>
            <w:shd w:val="clear" w:color="auto" w:fill="auto"/>
            <w:noWrap/>
            <w:vAlign w:val="bottom"/>
            <w:hideMark/>
          </w:tcPr>
          <w:p w14:paraId="5504B031" w14:textId="77777777" w:rsidR="00E65648" w:rsidRPr="00E65648" w:rsidRDefault="00E65648" w:rsidP="00E65648">
            <w:pPr>
              <w:spacing w:after="0" w:line="240" w:lineRule="auto"/>
              <w:jc w:val="center"/>
              <w:rPr>
                <w:rFonts w:ascii="Times New Roman" w:eastAsia="Times New Roman" w:hAnsi="Times New Roman" w:cs="Times New Roman"/>
                <w:b/>
                <w:bCs/>
                <w:color w:val="000000"/>
                <w:sz w:val="20"/>
                <w:szCs w:val="20"/>
                <w:lang w:val="en-GB" w:eastAsia="nl-NL" w:bidi="ne-NP"/>
              </w:rPr>
            </w:pPr>
            <w:r w:rsidRPr="00E65648">
              <w:rPr>
                <w:rFonts w:ascii="Times New Roman" w:eastAsia="Times New Roman" w:hAnsi="Times New Roman" w:cs="Times New Roman"/>
                <w:b/>
                <w:bCs/>
                <w:color w:val="000000"/>
                <w:sz w:val="20"/>
                <w:szCs w:val="20"/>
                <w:lang w:val="en-GB" w:eastAsia="nl-NL" w:bidi="ne-NP"/>
              </w:rPr>
              <w:t>P-value</w:t>
            </w:r>
          </w:p>
        </w:tc>
        <w:tc>
          <w:tcPr>
            <w:tcW w:w="1508" w:type="dxa"/>
            <w:tcBorders>
              <w:top w:val="single" w:sz="12" w:space="0" w:color="auto"/>
              <w:left w:val="nil"/>
              <w:bottom w:val="single" w:sz="12" w:space="0" w:color="auto"/>
              <w:right w:val="nil"/>
            </w:tcBorders>
            <w:shd w:val="clear" w:color="auto" w:fill="auto"/>
            <w:noWrap/>
            <w:vAlign w:val="bottom"/>
            <w:hideMark/>
          </w:tcPr>
          <w:p w14:paraId="2FE81820" w14:textId="77777777" w:rsidR="00E65648" w:rsidRPr="00E65648" w:rsidRDefault="00E65648" w:rsidP="00E65648">
            <w:pPr>
              <w:spacing w:after="0" w:line="240" w:lineRule="auto"/>
              <w:jc w:val="center"/>
              <w:rPr>
                <w:rFonts w:ascii="Times New Roman" w:eastAsia="Times New Roman" w:hAnsi="Times New Roman" w:cs="Times New Roman"/>
                <w:b/>
                <w:bCs/>
                <w:color w:val="000000"/>
                <w:sz w:val="20"/>
                <w:szCs w:val="20"/>
                <w:lang w:val="en-GB" w:eastAsia="nl-NL" w:bidi="ne-NP"/>
              </w:rPr>
            </w:pPr>
            <w:r w:rsidRPr="00E65648">
              <w:rPr>
                <w:rFonts w:ascii="Times New Roman" w:eastAsia="Times New Roman" w:hAnsi="Times New Roman" w:cs="Times New Roman"/>
                <w:b/>
                <w:bCs/>
                <w:color w:val="000000"/>
                <w:sz w:val="20"/>
                <w:szCs w:val="20"/>
                <w:lang w:val="en-GB" w:eastAsia="nl-NL" w:bidi="ne-NP"/>
              </w:rPr>
              <w:t>N</w:t>
            </w:r>
          </w:p>
        </w:tc>
      </w:tr>
      <w:tr w:rsidR="00E65648" w:rsidRPr="00E65648" w14:paraId="049B47F2" w14:textId="77777777" w:rsidTr="00E65648">
        <w:trPr>
          <w:trHeight w:val="300"/>
        </w:trPr>
        <w:tc>
          <w:tcPr>
            <w:tcW w:w="2552" w:type="dxa"/>
            <w:tcBorders>
              <w:top w:val="single" w:sz="12" w:space="0" w:color="auto"/>
              <w:left w:val="nil"/>
              <w:bottom w:val="nil"/>
              <w:right w:val="nil"/>
            </w:tcBorders>
            <w:shd w:val="clear" w:color="auto" w:fill="auto"/>
            <w:noWrap/>
            <w:vAlign w:val="bottom"/>
            <w:hideMark/>
          </w:tcPr>
          <w:p w14:paraId="6C5A8286" w14:textId="77777777" w:rsidR="00E65648" w:rsidRPr="00E65648" w:rsidRDefault="00E65648" w:rsidP="00E65648">
            <w:pPr>
              <w:spacing w:after="0" w:line="240" w:lineRule="auto"/>
              <w:rPr>
                <w:rFonts w:ascii="Times New Roman" w:eastAsia="Times New Roman" w:hAnsi="Times New Roman" w:cs="Times New Roman"/>
                <w:b/>
                <w:bCs/>
                <w:color w:val="000000"/>
                <w:sz w:val="20"/>
                <w:szCs w:val="20"/>
                <w:lang w:val="en-GB" w:eastAsia="nl-NL" w:bidi="ne-NP"/>
              </w:rPr>
            </w:pPr>
            <w:r w:rsidRPr="00E65648">
              <w:rPr>
                <w:rFonts w:ascii="Times New Roman" w:eastAsia="Times New Roman" w:hAnsi="Times New Roman" w:cs="Times New Roman"/>
                <w:b/>
                <w:bCs/>
                <w:color w:val="000000"/>
                <w:sz w:val="20"/>
                <w:szCs w:val="20"/>
                <w:lang w:val="en-GB" w:eastAsia="nl-NL" w:bidi="ne-NP"/>
              </w:rPr>
              <w:t xml:space="preserve">Pre-pandemic </w:t>
            </w:r>
          </w:p>
        </w:tc>
        <w:tc>
          <w:tcPr>
            <w:tcW w:w="1701" w:type="dxa"/>
            <w:gridSpan w:val="2"/>
            <w:tcBorders>
              <w:top w:val="single" w:sz="12" w:space="0" w:color="auto"/>
              <w:left w:val="nil"/>
              <w:bottom w:val="nil"/>
              <w:right w:val="nil"/>
            </w:tcBorders>
            <w:shd w:val="clear" w:color="auto" w:fill="auto"/>
            <w:noWrap/>
            <w:vAlign w:val="bottom"/>
            <w:hideMark/>
          </w:tcPr>
          <w:p w14:paraId="674E3A33" w14:textId="77777777" w:rsidR="00E65648" w:rsidRPr="00E65648" w:rsidRDefault="00E65648" w:rsidP="00E65648">
            <w:pPr>
              <w:spacing w:after="0" w:line="240" w:lineRule="auto"/>
              <w:rPr>
                <w:rFonts w:ascii="Times New Roman" w:eastAsia="Times New Roman" w:hAnsi="Times New Roman" w:cs="Times New Roman"/>
                <w:sz w:val="20"/>
                <w:szCs w:val="20"/>
                <w:lang w:val="en-GB" w:eastAsia="nl-NL" w:bidi="ne-NP"/>
              </w:rPr>
            </w:pPr>
          </w:p>
        </w:tc>
        <w:tc>
          <w:tcPr>
            <w:tcW w:w="1894" w:type="dxa"/>
            <w:gridSpan w:val="2"/>
            <w:tcBorders>
              <w:top w:val="single" w:sz="12" w:space="0" w:color="auto"/>
              <w:left w:val="nil"/>
              <w:bottom w:val="nil"/>
              <w:right w:val="nil"/>
            </w:tcBorders>
            <w:shd w:val="clear" w:color="auto" w:fill="auto"/>
            <w:noWrap/>
            <w:vAlign w:val="bottom"/>
            <w:hideMark/>
          </w:tcPr>
          <w:p w14:paraId="3F1BA98B" w14:textId="77777777" w:rsidR="00E65648" w:rsidRPr="00E65648" w:rsidRDefault="00E65648" w:rsidP="00E65648">
            <w:pPr>
              <w:spacing w:after="0" w:line="240" w:lineRule="auto"/>
              <w:rPr>
                <w:rFonts w:ascii="Times New Roman" w:eastAsia="Times New Roman" w:hAnsi="Times New Roman" w:cs="Times New Roman"/>
                <w:sz w:val="20"/>
                <w:szCs w:val="20"/>
                <w:lang w:val="en-GB" w:eastAsia="nl-NL" w:bidi="ne-NP"/>
              </w:rPr>
            </w:pPr>
          </w:p>
        </w:tc>
        <w:tc>
          <w:tcPr>
            <w:tcW w:w="1508" w:type="dxa"/>
            <w:tcBorders>
              <w:top w:val="single" w:sz="12" w:space="0" w:color="auto"/>
              <w:left w:val="nil"/>
              <w:bottom w:val="nil"/>
              <w:right w:val="nil"/>
            </w:tcBorders>
            <w:shd w:val="clear" w:color="auto" w:fill="auto"/>
            <w:noWrap/>
            <w:vAlign w:val="bottom"/>
            <w:hideMark/>
          </w:tcPr>
          <w:p w14:paraId="23440C5E" w14:textId="77777777" w:rsidR="00E65648" w:rsidRPr="00E65648" w:rsidRDefault="00E65648" w:rsidP="00E65648">
            <w:pPr>
              <w:spacing w:after="0" w:line="240" w:lineRule="auto"/>
              <w:rPr>
                <w:rFonts w:ascii="Times New Roman" w:eastAsia="Times New Roman" w:hAnsi="Times New Roman" w:cs="Times New Roman"/>
                <w:sz w:val="20"/>
                <w:szCs w:val="20"/>
                <w:lang w:val="en-GB" w:eastAsia="nl-NL" w:bidi="ne-NP"/>
              </w:rPr>
            </w:pPr>
          </w:p>
        </w:tc>
      </w:tr>
      <w:tr w:rsidR="00E65648" w:rsidRPr="00E65648" w14:paraId="4A58BD05" w14:textId="77777777" w:rsidTr="00E65648">
        <w:trPr>
          <w:trHeight w:val="345"/>
        </w:trPr>
        <w:tc>
          <w:tcPr>
            <w:tcW w:w="2552" w:type="dxa"/>
            <w:tcBorders>
              <w:top w:val="nil"/>
              <w:left w:val="nil"/>
              <w:bottom w:val="nil"/>
              <w:right w:val="nil"/>
            </w:tcBorders>
            <w:shd w:val="clear" w:color="auto" w:fill="auto"/>
            <w:noWrap/>
            <w:vAlign w:val="bottom"/>
            <w:hideMark/>
          </w:tcPr>
          <w:p w14:paraId="5423C191" w14:textId="77777777" w:rsidR="00E65648" w:rsidRPr="00E65648" w:rsidRDefault="00E65648" w:rsidP="00E65648">
            <w:pPr>
              <w:spacing w:after="0" w:line="240" w:lineRule="auto"/>
              <w:rPr>
                <w:rFonts w:ascii="Times New Roman" w:eastAsia="Times New Roman" w:hAnsi="Times New Roman" w:cs="Times New Roman"/>
                <w:color w:val="000000"/>
                <w:sz w:val="20"/>
                <w:szCs w:val="20"/>
                <w:lang w:val="en-GB" w:eastAsia="nl-NL" w:bidi="ne-NP"/>
              </w:rPr>
            </w:pPr>
            <w:r w:rsidRPr="00E65648">
              <w:rPr>
                <w:rFonts w:ascii="Times New Roman" w:eastAsia="Times New Roman" w:hAnsi="Times New Roman" w:cs="Times New Roman"/>
                <w:color w:val="000000"/>
                <w:sz w:val="20"/>
                <w:szCs w:val="20"/>
                <w:lang w:val="en-GB" w:eastAsia="nl-NL" w:bidi="ne-NP"/>
              </w:rPr>
              <w:t xml:space="preserve">Gender </w:t>
            </w:r>
          </w:p>
        </w:tc>
        <w:tc>
          <w:tcPr>
            <w:tcW w:w="1701" w:type="dxa"/>
            <w:gridSpan w:val="2"/>
            <w:tcBorders>
              <w:top w:val="nil"/>
              <w:left w:val="nil"/>
              <w:bottom w:val="nil"/>
              <w:right w:val="nil"/>
            </w:tcBorders>
            <w:shd w:val="clear" w:color="auto" w:fill="auto"/>
            <w:noWrap/>
            <w:vAlign w:val="bottom"/>
            <w:hideMark/>
          </w:tcPr>
          <w:p w14:paraId="7AC5A96B" w14:textId="77777777" w:rsidR="00E65648" w:rsidRPr="00E65648" w:rsidRDefault="00E65648" w:rsidP="00E65648">
            <w:pPr>
              <w:spacing w:after="0" w:line="240" w:lineRule="auto"/>
              <w:jc w:val="center"/>
              <w:rPr>
                <w:rFonts w:ascii="Times New Roman" w:eastAsia="Times New Roman" w:hAnsi="Times New Roman" w:cs="Times New Roman"/>
                <w:color w:val="000000"/>
                <w:sz w:val="20"/>
                <w:szCs w:val="20"/>
                <w:lang w:val="en-GB" w:eastAsia="nl-NL" w:bidi="ne-NP"/>
              </w:rPr>
            </w:pPr>
            <w:r w:rsidRPr="00E65648">
              <w:rPr>
                <w:rFonts w:ascii="Times New Roman" w:eastAsia="Times New Roman" w:hAnsi="Times New Roman" w:cs="Times New Roman"/>
                <w:color w:val="000000"/>
                <w:sz w:val="20"/>
                <w:szCs w:val="20"/>
                <w:lang w:val="en-GB" w:eastAsia="nl-NL" w:bidi="ne-NP"/>
              </w:rPr>
              <w:t>-.18 (.03)</w:t>
            </w:r>
          </w:p>
        </w:tc>
        <w:tc>
          <w:tcPr>
            <w:tcW w:w="1894" w:type="dxa"/>
            <w:gridSpan w:val="2"/>
            <w:tcBorders>
              <w:top w:val="nil"/>
              <w:left w:val="nil"/>
              <w:bottom w:val="nil"/>
              <w:right w:val="nil"/>
            </w:tcBorders>
            <w:shd w:val="clear" w:color="auto" w:fill="auto"/>
            <w:noWrap/>
            <w:vAlign w:val="bottom"/>
            <w:hideMark/>
          </w:tcPr>
          <w:p w14:paraId="0C017498" w14:textId="77777777" w:rsidR="00E65648" w:rsidRPr="00E65648" w:rsidRDefault="00E65648" w:rsidP="00E65648">
            <w:pPr>
              <w:spacing w:after="0" w:line="240" w:lineRule="auto"/>
              <w:jc w:val="center"/>
              <w:rPr>
                <w:rFonts w:ascii="Times New Roman" w:eastAsia="Times New Roman" w:hAnsi="Times New Roman" w:cs="Times New Roman"/>
                <w:b/>
                <w:bCs/>
                <w:color w:val="000000"/>
                <w:sz w:val="20"/>
                <w:szCs w:val="20"/>
                <w:lang w:val="en-GB" w:eastAsia="nl-NL" w:bidi="ne-NP"/>
              </w:rPr>
            </w:pPr>
            <w:r w:rsidRPr="00E65648">
              <w:rPr>
                <w:rFonts w:ascii="Times New Roman" w:eastAsia="Times New Roman" w:hAnsi="Times New Roman" w:cs="Times New Roman"/>
                <w:b/>
                <w:bCs/>
                <w:color w:val="000000"/>
                <w:sz w:val="20"/>
                <w:szCs w:val="20"/>
                <w:lang w:val="en-GB" w:eastAsia="nl-NL" w:bidi="ne-NP"/>
              </w:rPr>
              <w:t>2.37x10</w:t>
            </w:r>
            <w:r w:rsidRPr="00E65648">
              <w:rPr>
                <w:rFonts w:ascii="Times New Roman" w:eastAsia="Times New Roman" w:hAnsi="Times New Roman" w:cs="Times New Roman"/>
                <w:b/>
                <w:bCs/>
                <w:color w:val="000000"/>
                <w:sz w:val="20"/>
                <w:szCs w:val="20"/>
                <w:vertAlign w:val="superscript"/>
                <w:lang w:val="en-GB" w:eastAsia="nl-NL" w:bidi="ne-NP"/>
              </w:rPr>
              <w:t>-11</w:t>
            </w:r>
          </w:p>
        </w:tc>
        <w:tc>
          <w:tcPr>
            <w:tcW w:w="1508" w:type="dxa"/>
            <w:vMerge w:val="restart"/>
            <w:tcBorders>
              <w:top w:val="nil"/>
              <w:left w:val="nil"/>
              <w:bottom w:val="single" w:sz="4" w:space="0" w:color="000000"/>
              <w:right w:val="nil"/>
            </w:tcBorders>
            <w:shd w:val="clear" w:color="auto" w:fill="auto"/>
            <w:noWrap/>
            <w:vAlign w:val="center"/>
            <w:hideMark/>
          </w:tcPr>
          <w:p w14:paraId="2EE2B579" w14:textId="77777777" w:rsidR="00E65648" w:rsidRPr="00E65648" w:rsidRDefault="00E65648" w:rsidP="00E65648">
            <w:pPr>
              <w:spacing w:after="0" w:line="240" w:lineRule="auto"/>
              <w:jc w:val="center"/>
              <w:rPr>
                <w:rFonts w:ascii="Times New Roman" w:eastAsia="Times New Roman" w:hAnsi="Times New Roman" w:cs="Times New Roman"/>
                <w:color w:val="000000"/>
                <w:sz w:val="20"/>
                <w:szCs w:val="20"/>
                <w:lang w:val="en-GB" w:eastAsia="nl-NL" w:bidi="ne-NP"/>
              </w:rPr>
            </w:pPr>
            <w:r w:rsidRPr="00E65648">
              <w:rPr>
                <w:rFonts w:ascii="Times New Roman" w:eastAsia="Times New Roman" w:hAnsi="Times New Roman" w:cs="Times New Roman"/>
                <w:color w:val="000000"/>
                <w:sz w:val="20"/>
                <w:szCs w:val="20"/>
                <w:lang w:val="en-GB" w:eastAsia="nl-NL" w:bidi="ne-NP"/>
              </w:rPr>
              <w:t>6180</w:t>
            </w:r>
          </w:p>
        </w:tc>
      </w:tr>
      <w:tr w:rsidR="00E65648" w:rsidRPr="00E65648" w14:paraId="54035695" w14:textId="77777777" w:rsidTr="00E65648">
        <w:trPr>
          <w:trHeight w:val="345"/>
        </w:trPr>
        <w:tc>
          <w:tcPr>
            <w:tcW w:w="2552" w:type="dxa"/>
            <w:tcBorders>
              <w:top w:val="nil"/>
              <w:left w:val="nil"/>
              <w:bottom w:val="nil"/>
              <w:right w:val="nil"/>
            </w:tcBorders>
            <w:shd w:val="clear" w:color="auto" w:fill="auto"/>
            <w:noWrap/>
            <w:vAlign w:val="bottom"/>
            <w:hideMark/>
          </w:tcPr>
          <w:p w14:paraId="49584F65" w14:textId="77777777" w:rsidR="00E65648" w:rsidRPr="00E65648" w:rsidRDefault="00E65648" w:rsidP="00E65648">
            <w:pPr>
              <w:spacing w:after="0" w:line="240" w:lineRule="auto"/>
              <w:rPr>
                <w:rFonts w:ascii="Times New Roman" w:eastAsia="Times New Roman" w:hAnsi="Times New Roman" w:cs="Times New Roman"/>
                <w:color w:val="000000"/>
                <w:sz w:val="20"/>
                <w:szCs w:val="20"/>
                <w:lang w:val="en-GB" w:eastAsia="nl-NL" w:bidi="ne-NP"/>
              </w:rPr>
            </w:pPr>
            <w:r w:rsidRPr="00E65648">
              <w:rPr>
                <w:rFonts w:ascii="Times New Roman" w:eastAsia="Times New Roman" w:hAnsi="Times New Roman" w:cs="Times New Roman"/>
                <w:color w:val="000000"/>
                <w:sz w:val="20"/>
                <w:szCs w:val="20"/>
                <w:lang w:val="en-GB" w:eastAsia="nl-NL" w:bidi="ne-NP"/>
              </w:rPr>
              <w:t>Age</w:t>
            </w:r>
          </w:p>
        </w:tc>
        <w:tc>
          <w:tcPr>
            <w:tcW w:w="1701" w:type="dxa"/>
            <w:gridSpan w:val="2"/>
            <w:tcBorders>
              <w:top w:val="nil"/>
              <w:left w:val="nil"/>
              <w:bottom w:val="nil"/>
              <w:right w:val="nil"/>
            </w:tcBorders>
            <w:shd w:val="clear" w:color="auto" w:fill="auto"/>
            <w:noWrap/>
            <w:vAlign w:val="bottom"/>
            <w:hideMark/>
          </w:tcPr>
          <w:p w14:paraId="5BEAA2B7" w14:textId="77777777" w:rsidR="00E65648" w:rsidRPr="00E65648" w:rsidRDefault="00E65648" w:rsidP="00E65648">
            <w:pPr>
              <w:spacing w:after="0" w:line="240" w:lineRule="auto"/>
              <w:jc w:val="center"/>
              <w:rPr>
                <w:rFonts w:ascii="Times New Roman" w:eastAsia="Times New Roman" w:hAnsi="Times New Roman" w:cs="Times New Roman"/>
                <w:color w:val="000000"/>
                <w:sz w:val="20"/>
                <w:szCs w:val="20"/>
                <w:lang w:val="en-GB" w:eastAsia="nl-NL" w:bidi="ne-NP"/>
              </w:rPr>
            </w:pPr>
            <w:r w:rsidRPr="00E65648">
              <w:rPr>
                <w:rFonts w:ascii="Times New Roman" w:eastAsia="Times New Roman" w:hAnsi="Times New Roman" w:cs="Times New Roman"/>
                <w:color w:val="000000"/>
                <w:sz w:val="20"/>
                <w:szCs w:val="20"/>
                <w:lang w:val="en-GB" w:eastAsia="nl-NL" w:bidi="ne-NP"/>
              </w:rPr>
              <w:t>-.11(.02)</w:t>
            </w:r>
          </w:p>
        </w:tc>
        <w:tc>
          <w:tcPr>
            <w:tcW w:w="1894" w:type="dxa"/>
            <w:gridSpan w:val="2"/>
            <w:tcBorders>
              <w:top w:val="nil"/>
              <w:left w:val="nil"/>
              <w:bottom w:val="nil"/>
              <w:right w:val="nil"/>
            </w:tcBorders>
            <w:shd w:val="clear" w:color="auto" w:fill="auto"/>
            <w:noWrap/>
            <w:vAlign w:val="bottom"/>
            <w:hideMark/>
          </w:tcPr>
          <w:p w14:paraId="53713C31" w14:textId="77777777" w:rsidR="00E65648" w:rsidRPr="00E65648" w:rsidRDefault="00E65648" w:rsidP="00E65648">
            <w:pPr>
              <w:spacing w:after="0" w:line="240" w:lineRule="auto"/>
              <w:jc w:val="center"/>
              <w:rPr>
                <w:rFonts w:ascii="Times New Roman" w:eastAsia="Times New Roman" w:hAnsi="Times New Roman" w:cs="Times New Roman"/>
                <w:b/>
                <w:bCs/>
                <w:color w:val="000000"/>
                <w:sz w:val="20"/>
                <w:szCs w:val="20"/>
                <w:lang w:val="en-GB" w:eastAsia="nl-NL" w:bidi="ne-NP"/>
              </w:rPr>
            </w:pPr>
            <w:r w:rsidRPr="00E65648">
              <w:rPr>
                <w:rFonts w:ascii="Times New Roman" w:eastAsia="Times New Roman" w:hAnsi="Times New Roman" w:cs="Times New Roman"/>
                <w:b/>
                <w:bCs/>
                <w:color w:val="000000"/>
                <w:sz w:val="20"/>
                <w:szCs w:val="20"/>
                <w:lang w:val="en-GB" w:eastAsia="nl-NL" w:bidi="ne-NP"/>
              </w:rPr>
              <w:t>2.13x10</w:t>
            </w:r>
            <w:r w:rsidRPr="00E65648">
              <w:rPr>
                <w:rFonts w:ascii="Times New Roman" w:eastAsia="Times New Roman" w:hAnsi="Times New Roman" w:cs="Times New Roman"/>
                <w:b/>
                <w:bCs/>
                <w:color w:val="000000"/>
                <w:sz w:val="20"/>
                <w:szCs w:val="20"/>
                <w:vertAlign w:val="superscript"/>
                <w:lang w:val="en-GB" w:eastAsia="nl-NL" w:bidi="ne-NP"/>
              </w:rPr>
              <w:t>-12</w:t>
            </w:r>
          </w:p>
        </w:tc>
        <w:tc>
          <w:tcPr>
            <w:tcW w:w="1508" w:type="dxa"/>
            <w:vMerge/>
            <w:tcBorders>
              <w:top w:val="nil"/>
              <w:left w:val="nil"/>
              <w:bottom w:val="single" w:sz="4" w:space="0" w:color="000000"/>
              <w:right w:val="nil"/>
            </w:tcBorders>
            <w:vAlign w:val="center"/>
            <w:hideMark/>
          </w:tcPr>
          <w:p w14:paraId="3A1F0B5A" w14:textId="77777777" w:rsidR="00E65648" w:rsidRPr="00E65648" w:rsidRDefault="00E65648" w:rsidP="00E65648">
            <w:pPr>
              <w:spacing w:after="0" w:line="240" w:lineRule="auto"/>
              <w:rPr>
                <w:rFonts w:ascii="Times New Roman" w:eastAsia="Times New Roman" w:hAnsi="Times New Roman" w:cs="Times New Roman"/>
                <w:color w:val="000000"/>
                <w:sz w:val="20"/>
                <w:szCs w:val="20"/>
                <w:lang w:val="en-GB" w:eastAsia="nl-NL" w:bidi="ne-NP"/>
              </w:rPr>
            </w:pPr>
          </w:p>
        </w:tc>
      </w:tr>
      <w:tr w:rsidR="00E65648" w:rsidRPr="00E65648" w14:paraId="78F86986" w14:textId="77777777" w:rsidTr="00E65648">
        <w:trPr>
          <w:trHeight w:val="345"/>
        </w:trPr>
        <w:tc>
          <w:tcPr>
            <w:tcW w:w="2552" w:type="dxa"/>
            <w:tcBorders>
              <w:top w:val="nil"/>
              <w:left w:val="nil"/>
              <w:bottom w:val="nil"/>
              <w:right w:val="nil"/>
            </w:tcBorders>
            <w:shd w:val="clear" w:color="auto" w:fill="auto"/>
            <w:noWrap/>
            <w:vAlign w:val="bottom"/>
            <w:hideMark/>
          </w:tcPr>
          <w:p w14:paraId="1F1D78A2" w14:textId="77777777" w:rsidR="00E65648" w:rsidRPr="00E65648" w:rsidRDefault="00E65648" w:rsidP="00E65648">
            <w:pPr>
              <w:spacing w:after="0" w:line="240" w:lineRule="auto"/>
              <w:rPr>
                <w:rFonts w:ascii="Times New Roman" w:eastAsia="Times New Roman" w:hAnsi="Times New Roman" w:cs="Times New Roman"/>
                <w:color w:val="000000"/>
                <w:sz w:val="20"/>
                <w:szCs w:val="20"/>
                <w:lang w:val="en-GB" w:eastAsia="nl-NL" w:bidi="ne-NP"/>
              </w:rPr>
            </w:pPr>
            <w:r w:rsidRPr="00E65648">
              <w:rPr>
                <w:rFonts w:ascii="Times New Roman" w:eastAsia="Times New Roman" w:hAnsi="Times New Roman" w:cs="Times New Roman"/>
                <w:color w:val="000000"/>
                <w:sz w:val="20"/>
                <w:szCs w:val="20"/>
                <w:lang w:val="en-GB" w:eastAsia="nl-NL" w:bidi="ne-NP"/>
              </w:rPr>
              <w:t>Chronic illnesses</w:t>
            </w:r>
          </w:p>
        </w:tc>
        <w:tc>
          <w:tcPr>
            <w:tcW w:w="1701" w:type="dxa"/>
            <w:gridSpan w:val="2"/>
            <w:tcBorders>
              <w:top w:val="nil"/>
              <w:left w:val="nil"/>
              <w:bottom w:val="nil"/>
              <w:right w:val="nil"/>
            </w:tcBorders>
            <w:shd w:val="clear" w:color="auto" w:fill="auto"/>
            <w:noWrap/>
            <w:vAlign w:val="bottom"/>
            <w:hideMark/>
          </w:tcPr>
          <w:p w14:paraId="48A9A4E9" w14:textId="77777777" w:rsidR="00E65648" w:rsidRPr="00E65648" w:rsidRDefault="00E65648" w:rsidP="00E65648">
            <w:pPr>
              <w:spacing w:after="0" w:line="240" w:lineRule="auto"/>
              <w:jc w:val="center"/>
              <w:rPr>
                <w:rFonts w:ascii="Times New Roman" w:eastAsia="Times New Roman" w:hAnsi="Times New Roman" w:cs="Times New Roman"/>
                <w:color w:val="000000"/>
                <w:sz w:val="20"/>
                <w:szCs w:val="20"/>
                <w:lang w:val="en-GB" w:eastAsia="nl-NL" w:bidi="ne-NP"/>
              </w:rPr>
            </w:pPr>
            <w:r w:rsidRPr="00E65648">
              <w:rPr>
                <w:rFonts w:ascii="Times New Roman" w:eastAsia="Times New Roman" w:hAnsi="Times New Roman" w:cs="Times New Roman"/>
                <w:color w:val="000000"/>
                <w:sz w:val="20"/>
                <w:szCs w:val="20"/>
                <w:lang w:val="en-GB" w:eastAsia="nl-NL" w:bidi="ne-NP"/>
              </w:rPr>
              <w:t>-.76 (.03)</w:t>
            </w:r>
          </w:p>
        </w:tc>
        <w:tc>
          <w:tcPr>
            <w:tcW w:w="1894" w:type="dxa"/>
            <w:gridSpan w:val="2"/>
            <w:tcBorders>
              <w:top w:val="nil"/>
              <w:left w:val="nil"/>
              <w:bottom w:val="nil"/>
              <w:right w:val="nil"/>
            </w:tcBorders>
            <w:shd w:val="clear" w:color="auto" w:fill="auto"/>
            <w:noWrap/>
            <w:vAlign w:val="bottom"/>
            <w:hideMark/>
          </w:tcPr>
          <w:p w14:paraId="2F28521E" w14:textId="77777777" w:rsidR="00E65648" w:rsidRPr="00E65648" w:rsidRDefault="00E65648" w:rsidP="00E65648">
            <w:pPr>
              <w:spacing w:after="0" w:line="240" w:lineRule="auto"/>
              <w:jc w:val="center"/>
              <w:rPr>
                <w:rFonts w:ascii="Times New Roman" w:eastAsia="Times New Roman" w:hAnsi="Times New Roman" w:cs="Times New Roman"/>
                <w:b/>
                <w:bCs/>
                <w:color w:val="000000"/>
                <w:sz w:val="20"/>
                <w:szCs w:val="20"/>
                <w:lang w:val="en-GB" w:eastAsia="nl-NL" w:bidi="ne-NP"/>
              </w:rPr>
            </w:pPr>
            <w:r w:rsidRPr="00E65648">
              <w:rPr>
                <w:rFonts w:ascii="Times New Roman" w:eastAsia="Times New Roman" w:hAnsi="Times New Roman" w:cs="Times New Roman"/>
                <w:b/>
                <w:bCs/>
                <w:color w:val="000000"/>
                <w:sz w:val="20"/>
                <w:szCs w:val="20"/>
                <w:lang w:val="en-GB" w:eastAsia="nl-NL" w:bidi="ne-NP"/>
              </w:rPr>
              <w:t>1.57x10</w:t>
            </w:r>
            <w:r w:rsidRPr="00E65648">
              <w:rPr>
                <w:rFonts w:ascii="Times New Roman" w:eastAsia="Times New Roman" w:hAnsi="Times New Roman" w:cs="Times New Roman"/>
                <w:b/>
                <w:bCs/>
                <w:color w:val="000000"/>
                <w:sz w:val="20"/>
                <w:szCs w:val="20"/>
                <w:vertAlign w:val="superscript"/>
                <w:lang w:val="en-GB" w:eastAsia="nl-NL" w:bidi="ne-NP"/>
              </w:rPr>
              <w:t>-85</w:t>
            </w:r>
          </w:p>
        </w:tc>
        <w:tc>
          <w:tcPr>
            <w:tcW w:w="1508" w:type="dxa"/>
            <w:vMerge/>
            <w:tcBorders>
              <w:top w:val="nil"/>
              <w:left w:val="nil"/>
              <w:bottom w:val="single" w:sz="4" w:space="0" w:color="000000"/>
              <w:right w:val="nil"/>
            </w:tcBorders>
            <w:vAlign w:val="center"/>
            <w:hideMark/>
          </w:tcPr>
          <w:p w14:paraId="38E309B6" w14:textId="77777777" w:rsidR="00E65648" w:rsidRPr="00E65648" w:rsidRDefault="00E65648" w:rsidP="00E65648">
            <w:pPr>
              <w:spacing w:after="0" w:line="240" w:lineRule="auto"/>
              <w:rPr>
                <w:rFonts w:ascii="Times New Roman" w:eastAsia="Times New Roman" w:hAnsi="Times New Roman" w:cs="Times New Roman"/>
                <w:color w:val="000000"/>
                <w:sz w:val="20"/>
                <w:szCs w:val="20"/>
                <w:lang w:val="en-GB" w:eastAsia="nl-NL" w:bidi="ne-NP"/>
              </w:rPr>
            </w:pPr>
          </w:p>
        </w:tc>
      </w:tr>
      <w:tr w:rsidR="00E65648" w:rsidRPr="00E65648" w14:paraId="4AEC0335" w14:textId="77777777" w:rsidTr="00E65648">
        <w:trPr>
          <w:trHeight w:val="345"/>
        </w:trPr>
        <w:tc>
          <w:tcPr>
            <w:tcW w:w="2552" w:type="dxa"/>
            <w:tcBorders>
              <w:top w:val="nil"/>
              <w:left w:val="nil"/>
              <w:bottom w:val="single" w:sz="4" w:space="0" w:color="auto"/>
              <w:right w:val="nil"/>
            </w:tcBorders>
            <w:shd w:val="clear" w:color="auto" w:fill="auto"/>
            <w:noWrap/>
            <w:vAlign w:val="bottom"/>
            <w:hideMark/>
          </w:tcPr>
          <w:p w14:paraId="6CF534C9" w14:textId="77777777" w:rsidR="00E65648" w:rsidRPr="00E65648" w:rsidRDefault="00E65648" w:rsidP="00E65648">
            <w:pPr>
              <w:spacing w:after="0" w:line="240" w:lineRule="auto"/>
              <w:rPr>
                <w:rFonts w:ascii="Times New Roman" w:eastAsia="Times New Roman" w:hAnsi="Times New Roman" w:cs="Times New Roman"/>
                <w:color w:val="000000"/>
                <w:sz w:val="20"/>
                <w:szCs w:val="20"/>
                <w:lang w:val="en-GB" w:eastAsia="nl-NL" w:bidi="ne-NP"/>
              </w:rPr>
            </w:pPr>
            <w:r w:rsidRPr="00E65648">
              <w:rPr>
                <w:rFonts w:ascii="Times New Roman" w:eastAsia="Times New Roman" w:hAnsi="Times New Roman" w:cs="Times New Roman"/>
                <w:color w:val="000000"/>
                <w:sz w:val="20"/>
                <w:szCs w:val="20"/>
                <w:lang w:val="en-GB" w:eastAsia="nl-NL" w:bidi="ne-NP"/>
              </w:rPr>
              <w:t>Educational attainment</w:t>
            </w:r>
          </w:p>
        </w:tc>
        <w:tc>
          <w:tcPr>
            <w:tcW w:w="1701" w:type="dxa"/>
            <w:gridSpan w:val="2"/>
            <w:tcBorders>
              <w:top w:val="nil"/>
              <w:left w:val="nil"/>
              <w:bottom w:val="single" w:sz="4" w:space="0" w:color="auto"/>
              <w:right w:val="nil"/>
            </w:tcBorders>
            <w:shd w:val="clear" w:color="auto" w:fill="auto"/>
            <w:noWrap/>
            <w:vAlign w:val="bottom"/>
            <w:hideMark/>
          </w:tcPr>
          <w:p w14:paraId="15F6EDA5" w14:textId="77777777" w:rsidR="00E65648" w:rsidRPr="00E65648" w:rsidRDefault="00E65648" w:rsidP="00E65648">
            <w:pPr>
              <w:spacing w:after="0" w:line="240" w:lineRule="auto"/>
              <w:jc w:val="center"/>
              <w:rPr>
                <w:rFonts w:ascii="Times New Roman" w:eastAsia="Times New Roman" w:hAnsi="Times New Roman" w:cs="Times New Roman"/>
                <w:color w:val="000000"/>
                <w:sz w:val="20"/>
                <w:szCs w:val="20"/>
                <w:lang w:val="en-GB" w:eastAsia="nl-NL" w:bidi="ne-NP"/>
              </w:rPr>
            </w:pPr>
            <w:r w:rsidRPr="00E65648">
              <w:rPr>
                <w:rFonts w:ascii="Times New Roman" w:eastAsia="Times New Roman" w:hAnsi="Times New Roman" w:cs="Times New Roman"/>
                <w:color w:val="000000"/>
                <w:sz w:val="20"/>
                <w:szCs w:val="20"/>
                <w:lang w:val="en-GB" w:eastAsia="nl-NL" w:bidi="ne-NP"/>
              </w:rPr>
              <w:t>.13 (.02)</w:t>
            </w:r>
          </w:p>
        </w:tc>
        <w:tc>
          <w:tcPr>
            <w:tcW w:w="1894" w:type="dxa"/>
            <w:gridSpan w:val="2"/>
            <w:tcBorders>
              <w:top w:val="nil"/>
              <w:left w:val="nil"/>
              <w:bottom w:val="single" w:sz="4" w:space="0" w:color="auto"/>
              <w:right w:val="nil"/>
            </w:tcBorders>
            <w:shd w:val="clear" w:color="auto" w:fill="auto"/>
            <w:noWrap/>
            <w:vAlign w:val="bottom"/>
            <w:hideMark/>
          </w:tcPr>
          <w:p w14:paraId="3D0798B3" w14:textId="77777777" w:rsidR="00E65648" w:rsidRPr="00E65648" w:rsidRDefault="00E65648" w:rsidP="00E65648">
            <w:pPr>
              <w:spacing w:after="0" w:line="240" w:lineRule="auto"/>
              <w:jc w:val="center"/>
              <w:rPr>
                <w:rFonts w:ascii="Times New Roman" w:eastAsia="Times New Roman" w:hAnsi="Times New Roman" w:cs="Times New Roman"/>
                <w:b/>
                <w:bCs/>
                <w:color w:val="000000"/>
                <w:sz w:val="20"/>
                <w:szCs w:val="20"/>
                <w:lang w:val="en-GB" w:eastAsia="nl-NL" w:bidi="ne-NP"/>
              </w:rPr>
            </w:pPr>
            <w:r w:rsidRPr="00E65648">
              <w:rPr>
                <w:rFonts w:ascii="Times New Roman" w:eastAsia="Times New Roman" w:hAnsi="Times New Roman" w:cs="Times New Roman"/>
                <w:b/>
                <w:bCs/>
                <w:color w:val="000000"/>
                <w:sz w:val="20"/>
                <w:szCs w:val="20"/>
                <w:lang w:val="en-GB" w:eastAsia="nl-NL" w:bidi="ne-NP"/>
              </w:rPr>
              <w:t>1.50x10</w:t>
            </w:r>
            <w:r w:rsidRPr="00E65648">
              <w:rPr>
                <w:rFonts w:ascii="Times New Roman" w:eastAsia="Times New Roman" w:hAnsi="Times New Roman" w:cs="Times New Roman"/>
                <w:b/>
                <w:bCs/>
                <w:color w:val="000000"/>
                <w:sz w:val="20"/>
                <w:szCs w:val="20"/>
                <w:vertAlign w:val="superscript"/>
                <w:lang w:val="en-GB" w:eastAsia="nl-NL" w:bidi="ne-NP"/>
              </w:rPr>
              <w:t>-12</w:t>
            </w:r>
          </w:p>
        </w:tc>
        <w:tc>
          <w:tcPr>
            <w:tcW w:w="1508" w:type="dxa"/>
            <w:vMerge/>
            <w:tcBorders>
              <w:top w:val="nil"/>
              <w:left w:val="nil"/>
              <w:bottom w:val="single" w:sz="4" w:space="0" w:color="000000"/>
              <w:right w:val="nil"/>
            </w:tcBorders>
            <w:vAlign w:val="center"/>
            <w:hideMark/>
          </w:tcPr>
          <w:p w14:paraId="6779E8FC" w14:textId="77777777" w:rsidR="00E65648" w:rsidRPr="00E65648" w:rsidRDefault="00E65648" w:rsidP="00E65648">
            <w:pPr>
              <w:spacing w:after="0" w:line="240" w:lineRule="auto"/>
              <w:rPr>
                <w:rFonts w:ascii="Times New Roman" w:eastAsia="Times New Roman" w:hAnsi="Times New Roman" w:cs="Times New Roman"/>
                <w:color w:val="000000"/>
                <w:sz w:val="20"/>
                <w:szCs w:val="20"/>
                <w:lang w:val="en-GB" w:eastAsia="nl-NL" w:bidi="ne-NP"/>
              </w:rPr>
            </w:pPr>
          </w:p>
        </w:tc>
      </w:tr>
      <w:tr w:rsidR="00E65648" w:rsidRPr="00E65648" w14:paraId="117A0A80" w14:textId="77777777" w:rsidTr="00E65648">
        <w:trPr>
          <w:trHeight w:val="300"/>
        </w:trPr>
        <w:tc>
          <w:tcPr>
            <w:tcW w:w="2552" w:type="dxa"/>
            <w:tcBorders>
              <w:top w:val="nil"/>
              <w:left w:val="nil"/>
              <w:bottom w:val="nil"/>
              <w:right w:val="nil"/>
            </w:tcBorders>
            <w:shd w:val="clear" w:color="auto" w:fill="auto"/>
            <w:noWrap/>
            <w:vAlign w:val="bottom"/>
            <w:hideMark/>
          </w:tcPr>
          <w:p w14:paraId="5B43E52A" w14:textId="77777777" w:rsidR="00E65648" w:rsidRPr="00E65648" w:rsidRDefault="00E65648" w:rsidP="00E65648">
            <w:pPr>
              <w:spacing w:after="0" w:line="240" w:lineRule="auto"/>
              <w:rPr>
                <w:rFonts w:ascii="Times New Roman" w:eastAsia="Times New Roman" w:hAnsi="Times New Roman" w:cs="Times New Roman"/>
                <w:b/>
                <w:bCs/>
                <w:color w:val="000000"/>
                <w:sz w:val="20"/>
                <w:szCs w:val="20"/>
                <w:lang w:val="en-GB" w:eastAsia="nl-NL" w:bidi="ne-NP"/>
              </w:rPr>
            </w:pPr>
            <w:r w:rsidRPr="00E65648">
              <w:rPr>
                <w:rFonts w:ascii="Times New Roman" w:eastAsia="Times New Roman" w:hAnsi="Times New Roman" w:cs="Times New Roman"/>
                <w:b/>
                <w:bCs/>
                <w:color w:val="000000"/>
                <w:sz w:val="20"/>
                <w:szCs w:val="20"/>
                <w:lang w:val="en-GB" w:eastAsia="nl-NL" w:bidi="ne-NP"/>
              </w:rPr>
              <w:t>Pandemic</w:t>
            </w:r>
          </w:p>
        </w:tc>
        <w:tc>
          <w:tcPr>
            <w:tcW w:w="1701" w:type="dxa"/>
            <w:gridSpan w:val="2"/>
            <w:tcBorders>
              <w:top w:val="nil"/>
              <w:left w:val="nil"/>
              <w:bottom w:val="nil"/>
              <w:right w:val="nil"/>
            </w:tcBorders>
            <w:shd w:val="clear" w:color="auto" w:fill="auto"/>
            <w:noWrap/>
            <w:vAlign w:val="bottom"/>
            <w:hideMark/>
          </w:tcPr>
          <w:p w14:paraId="56BB5F16" w14:textId="77777777" w:rsidR="00E65648" w:rsidRPr="00E65648" w:rsidRDefault="00E65648" w:rsidP="00E65648">
            <w:pPr>
              <w:spacing w:after="0" w:line="240" w:lineRule="auto"/>
              <w:jc w:val="center"/>
              <w:rPr>
                <w:rFonts w:ascii="Times New Roman" w:eastAsia="Times New Roman" w:hAnsi="Times New Roman" w:cs="Times New Roman"/>
                <w:sz w:val="20"/>
                <w:szCs w:val="20"/>
                <w:lang w:val="en-GB" w:eastAsia="nl-NL" w:bidi="ne-NP"/>
              </w:rPr>
            </w:pPr>
          </w:p>
        </w:tc>
        <w:tc>
          <w:tcPr>
            <w:tcW w:w="1894" w:type="dxa"/>
            <w:gridSpan w:val="2"/>
            <w:tcBorders>
              <w:top w:val="nil"/>
              <w:left w:val="nil"/>
              <w:bottom w:val="nil"/>
              <w:right w:val="nil"/>
            </w:tcBorders>
            <w:shd w:val="clear" w:color="auto" w:fill="auto"/>
            <w:noWrap/>
            <w:vAlign w:val="bottom"/>
            <w:hideMark/>
          </w:tcPr>
          <w:p w14:paraId="6D3BBF3B" w14:textId="77777777" w:rsidR="00E65648" w:rsidRPr="00E65648" w:rsidRDefault="00E65648" w:rsidP="00E65648">
            <w:pPr>
              <w:spacing w:after="0" w:line="240" w:lineRule="auto"/>
              <w:jc w:val="center"/>
              <w:rPr>
                <w:rFonts w:ascii="Times New Roman" w:eastAsia="Times New Roman" w:hAnsi="Times New Roman" w:cs="Times New Roman"/>
                <w:sz w:val="20"/>
                <w:szCs w:val="20"/>
                <w:lang w:val="en-GB" w:eastAsia="nl-NL" w:bidi="ne-NP"/>
              </w:rPr>
            </w:pPr>
          </w:p>
        </w:tc>
        <w:tc>
          <w:tcPr>
            <w:tcW w:w="1508" w:type="dxa"/>
            <w:tcBorders>
              <w:top w:val="nil"/>
              <w:left w:val="nil"/>
              <w:bottom w:val="nil"/>
              <w:right w:val="nil"/>
            </w:tcBorders>
            <w:shd w:val="clear" w:color="auto" w:fill="auto"/>
            <w:noWrap/>
            <w:vAlign w:val="bottom"/>
            <w:hideMark/>
          </w:tcPr>
          <w:p w14:paraId="28243E62" w14:textId="77777777" w:rsidR="00E65648" w:rsidRPr="00E65648" w:rsidRDefault="00E65648" w:rsidP="00E65648">
            <w:pPr>
              <w:spacing w:after="0" w:line="240" w:lineRule="auto"/>
              <w:jc w:val="center"/>
              <w:rPr>
                <w:rFonts w:ascii="Times New Roman" w:eastAsia="Times New Roman" w:hAnsi="Times New Roman" w:cs="Times New Roman"/>
                <w:sz w:val="20"/>
                <w:szCs w:val="20"/>
                <w:lang w:val="en-GB" w:eastAsia="nl-NL" w:bidi="ne-NP"/>
              </w:rPr>
            </w:pPr>
          </w:p>
        </w:tc>
      </w:tr>
      <w:tr w:rsidR="00E65648" w:rsidRPr="00E65648" w14:paraId="3429BC89" w14:textId="77777777" w:rsidTr="00E65648">
        <w:trPr>
          <w:trHeight w:val="345"/>
        </w:trPr>
        <w:tc>
          <w:tcPr>
            <w:tcW w:w="2552" w:type="dxa"/>
            <w:tcBorders>
              <w:top w:val="nil"/>
              <w:left w:val="nil"/>
              <w:bottom w:val="nil"/>
              <w:right w:val="nil"/>
            </w:tcBorders>
            <w:shd w:val="clear" w:color="auto" w:fill="auto"/>
            <w:noWrap/>
            <w:vAlign w:val="bottom"/>
            <w:hideMark/>
          </w:tcPr>
          <w:p w14:paraId="11F17C43" w14:textId="77777777" w:rsidR="00E65648" w:rsidRPr="00E65648" w:rsidRDefault="00E65648" w:rsidP="00E65648">
            <w:pPr>
              <w:spacing w:after="0" w:line="240" w:lineRule="auto"/>
              <w:rPr>
                <w:rFonts w:ascii="Times New Roman" w:eastAsia="Times New Roman" w:hAnsi="Times New Roman" w:cs="Times New Roman"/>
                <w:color w:val="000000"/>
                <w:sz w:val="20"/>
                <w:szCs w:val="20"/>
                <w:lang w:val="en-GB" w:eastAsia="nl-NL" w:bidi="ne-NP"/>
              </w:rPr>
            </w:pPr>
            <w:r w:rsidRPr="00E65648">
              <w:rPr>
                <w:rFonts w:ascii="Times New Roman" w:eastAsia="Times New Roman" w:hAnsi="Times New Roman" w:cs="Times New Roman"/>
                <w:color w:val="000000"/>
                <w:sz w:val="20"/>
                <w:szCs w:val="20"/>
                <w:lang w:val="en-GB" w:eastAsia="nl-NL" w:bidi="ne-NP"/>
              </w:rPr>
              <w:t xml:space="preserve">Gender </w:t>
            </w:r>
          </w:p>
        </w:tc>
        <w:tc>
          <w:tcPr>
            <w:tcW w:w="1701" w:type="dxa"/>
            <w:gridSpan w:val="2"/>
            <w:tcBorders>
              <w:top w:val="nil"/>
              <w:left w:val="nil"/>
              <w:bottom w:val="nil"/>
              <w:right w:val="nil"/>
            </w:tcBorders>
            <w:shd w:val="clear" w:color="auto" w:fill="auto"/>
            <w:noWrap/>
            <w:vAlign w:val="bottom"/>
            <w:hideMark/>
          </w:tcPr>
          <w:p w14:paraId="7838CCCF" w14:textId="77777777" w:rsidR="00E65648" w:rsidRPr="00E65648" w:rsidRDefault="00E65648" w:rsidP="00E65648">
            <w:pPr>
              <w:spacing w:after="0" w:line="240" w:lineRule="auto"/>
              <w:jc w:val="center"/>
              <w:rPr>
                <w:rFonts w:ascii="Times New Roman" w:eastAsia="Times New Roman" w:hAnsi="Times New Roman" w:cs="Times New Roman"/>
                <w:color w:val="000000"/>
                <w:sz w:val="20"/>
                <w:szCs w:val="20"/>
                <w:lang w:val="en-GB" w:eastAsia="nl-NL" w:bidi="ne-NP"/>
              </w:rPr>
            </w:pPr>
            <w:r w:rsidRPr="00E65648">
              <w:rPr>
                <w:rFonts w:ascii="Times New Roman" w:eastAsia="Times New Roman" w:hAnsi="Times New Roman" w:cs="Times New Roman"/>
                <w:color w:val="000000"/>
                <w:sz w:val="20"/>
                <w:szCs w:val="20"/>
                <w:lang w:val="en-GB" w:eastAsia="nl-NL" w:bidi="ne-NP"/>
              </w:rPr>
              <w:t>-.21 (.02)</w:t>
            </w:r>
          </w:p>
        </w:tc>
        <w:tc>
          <w:tcPr>
            <w:tcW w:w="1894" w:type="dxa"/>
            <w:gridSpan w:val="2"/>
            <w:tcBorders>
              <w:top w:val="nil"/>
              <w:left w:val="nil"/>
              <w:bottom w:val="nil"/>
              <w:right w:val="nil"/>
            </w:tcBorders>
            <w:shd w:val="clear" w:color="auto" w:fill="auto"/>
            <w:noWrap/>
            <w:vAlign w:val="bottom"/>
            <w:hideMark/>
          </w:tcPr>
          <w:p w14:paraId="3616236D" w14:textId="77777777" w:rsidR="00E65648" w:rsidRPr="00E65648" w:rsidRDefault="00E65648" w:rsidP="00E65648">
            <w:pPr>
              <w:spacing w:after="0" w:line="240" w:lineRule="auto"/>
              <w:jc w:val="center"/>
              <w:rPr>
                <w:rFonts w:ascii="Times New Roman" w:eastAsia="Times New Roman" w:hAnsi="Times New Roman" w:cs="Times New Roman"/>
                <w:b/>
                <w:bCs/>
                <w:color w:val="000000"/>
                <w:sz w:val="20"/>
                <w:szCs w:val="20"/>
                <w:lang w:val="en-GB" w:eastAsia="nl-NL" w:bidi="ne-NP"/>
              </w:rPr>
            </w:pPr>
            <w:r w:rsidRPr="00E65648">
              <w:rPr>
                <w:rFonts w:ascii="Times New Roman" w:eastAsia="Times New Roman" w:hAnsi="Times New Roman" w:cs="Times New Roman"/>
                <w:b/>
                <w:bCs/>
                <w:color w:val="000000"/>
                <w:sz w:val="20"/>
                <w:szCs w:val="20"/>
                <w:lang w:val="en-GB" w:eastAsia="nl-NL" w:bidi="ne-NP"/>
              </w:rPr>
              <w:t>2.64x10</w:t>
            </w:r>
            <w:r w:rsidRPr="00E65648">
              <w:rPr>
                <w:rFonts w:ascii="Times New Roman" w:eastAsia="Times New Roman" w:hAnsi="Times New Roman" w:cs="Times New Roman"/>
                <w:b/>
                <w:bCs/>
                <w:color w:val="000000"/>
                <w:sz w:val="20"/>
                <w:szCs w:val="20"/>
                <w:vertAlign w:val="superscript"/>
                <w:lang w:val="en-GB" w:eastAsia="nl-NL" w:bidi="ne-NP"/>
              </w:rPr>
              <w:t>-20</w:t>
            </w:r>
          </w:p>
        </w:tc>
        <w:tc>
          <w:tcPr>
            <w:tcW w:w="1508" w:type="dxa"/>
            <w:vMerge w:val="restart"/>
            <w:tcBorders>
              <w:top w:val="nil"/>
              <w:left w:val="nil"/>
              <w:bottom w:val="nil"/>
              <w:right w:val="nil"/>
            </w:tcBorders>
            <w:shd w:val="clear" w:color="auto" w:fill="auto"/>
            <w:noWrap/>
            <w:vAlign w:val="center"/>
            <w:hideMark/>
          </w:tcPr>
          <w:p w14:paraId="0A59DAC0" w14:textId="77777777" w:rsidR="00E65648" w:rsidRPr="00E65648" w:rsidRDefault="00E65648" w:rsidP="00E65648">
            <w:pPr>
              <w:spacing w:after="0" w:line="240" w:lineRule="auto"/>
              <w:jc w:val="center"/>
              <w:rPr>
                <w:rFonts w:ascii="Times New Roman" w:eastAsia="Times New Roman" w:hAnsi="Times New Roman" w:cs="Times New Roman"/>
                <w:color w:val="000000"/>
                <w:sz w:val="20"/>
                <w:szCs w:val="20"/>
                <w:lang w:val="en-GB" w:eastAsia="nl-NL" w:bidi="ne-NP"/>
              </w:rPr>
            </w:pPr>
            <w:r w:rsidRPr="00E65648">
              <w:rPr>
                <w:rFonts w:ascii="Times New Roman" w:eastAsia="Times New Roman" w:hAnsi="Times New Roman" w:cs="Times New Roman"/>
                <w:color w:val="000000"/>
                <w:sz w:val="20"/>
                <w:szCs w:val="20"/>
                <w:lang w:val="en-GB" w:eastAsia="nl-NL" w:bidi="ne-NP"/>
              </w:rPr>
              <w:t>9102</w:t>
            </w:r>
          </w:p>
        </w:tc>
      </w:tr>
      <w:tr w:rsidR="00E65648" w:rsidRPr="00E65648" w14:paraId="316350F6" w14:textId="77777777" w:rsidTr="00E65648">
        <w:trPr>
          <w:trHeight w:val="345"/>
        </w:trPr>
        <w:tc>
          <w:tcPr>
            <w:tcW w:w="2552" w:type="dxa"/>
            <w:tcBorders>
              <w:top w:val="nil"/>
              <w:left w:val="nil"/>
              <w:bottom w:val="nil"/>
              <w:right w:val="nil"/>
            </w:tcBorders>
            <w:shd w:val="clear" w:color="auto" w:fill="auto"/>
            <w:noWrap/>
            <w:vAlign w:val="bottom"/>
            <w:hideMark/>
          </w:tcPr>
          <w:p w14:paraId="4032A3DE" w14:textId="77777777" w:rsidR="00E65648" w:rsidRPr="00E65648" w:rsidRDefault="00E65648" w:rsidP="00E65648">
            <w:pPr>
              <w:spacing w:after="0" w:line="240" w:lineRule="auto"/>
              <w:rPr>
                <w:rFonts w:ascii="Times New Roman" w:eastAsia="Times New Roman" w:hAnsi="Times New Roman" w:cs="Times New Roman"/>
                <w:color w:val="000000"/>
                <w:sz w:val="20"/>
                <w:szCs w:val="20"/>
                <w:lang w:val="en-GB" w:eastAsia="nl-NL" w:bidi="ne-NP"/>
              </w:rPr>
            </w:pPr>
            <w:r w:rsidRPr="00E65648">
              <w:rPr>
                <w:rFonts w:ascii="Times New Roman" w:eastAsia="Times New Roman" w:hAnsi="Times New Roman" w:cs="Times New Roman"/>
                <w:color w:val="000000"/>
                <w:sz w:val="20"/>
                <w:szCs w:val="20"/>
                <w:lang w:val="en-GB" w:eastAsia="nl-NL" w:bidi="ne-NP"/>
              </w:rPr>
              <w:t>Age</w:t>
            </w:r>
          </w:p>
        </w:tc>
        <w:tc>
          <w:tcPr>
            <w:tcW w:w="1701" w:type="dxa"/>
            <w:gridSpan w:val="2"/>
            <w:tcBorders>
              <w:top w:val="nil"/>
              <w:left w:val="nil"/>
              <w:bottom w:val="nil"/>
              <w:right w:val="nil"/>
            </w:tcBorders>
            <w:shd w:val="clear" w:color="auto" w:fill="auto"/>
            <w:noWrap/>
            <w:vAlign w:val="bottom"/>
            <w:hideMark/>
          </w:tcPr>
          <w:p w14:paraId="71C55C27" w14:textId="77777777" w:rsidR="00E65648" w:rsidRPr="00E65648" w:rsidRDefault="00E65648" w:rsidP="00E65648">
            <w:pPr>
              <w:spacing w:after="0" w:line="240" w:lineRule="auto"/>
              <w:jc w:val="center"/>
              <w:rPr>
                <w:rFonts w:ascii="Times New Roman" w:eastAsia="Times New Roman" w:hAnsi="Times New Roman" w:cs="Times New Roman"/>
                <w:color w:val="000000"/>
                <w:sz w:val="20"/>
                <w:szCs w:val="20"/>
                <w:lang w:val="en-GB" w:eastAsia="nl-NL" w:bidi="ne-NP"/>
              </w:rPr>
            </w:pPr>
            <w:r w:rsidRPr="00E65648">
              <w:rPr>
                <w:rFonts w:ascii="Times New Roman" w:eastAsia="Times New Roman" w:hAnsi="Times New Roman" w:cs="Times New Roman"/>
                <w:color w:val="000000"/>
                <w:sz w:val="20"/>
                <w:szCs w:val="20"/>
                <w:lang w:val="en-GB" w:eastAsia="nl-NL" w:bidi="ne-NP"/>
              </w:rPr>
              <w:t>-.07 (.01)</w:t>
            </w:r>
          </w:p>
        </w:tc>
        <w:tc>
          <w:tcPr>
            <w:tcW w:w="1894" w:type="dxa"/>
            <w:gridSpan w:val="2"/>
            <w:tcBorders>
              <w:top w:val="nil"/>
              <w:left w:val="nil"/>
              <w:bottom w:val="nil"/>
              <w:right w:val="nil"/>
            </w:tcBorders>
            <w:shd w:val="clear" w:color="auto" w:fill="auto"/>
            <w:noWrap/>
            <w:vAlign w:val="bottom"/>
            <w:hideMark/>
          </w:tcPr>
          <w:p w14:paraId="3B6D4293" w14:textId="77777777" w:rsidR="00E65648" w:rsidRPr="00E65648" w:rsidRDefault="00E65648" w:rsidP="00E65648">
            <w:pPr>
              <w:spacing w:after="0" w:line="240" w:lineRule="auto"/>
              <w:jc w:val="center"/>
              <w:rPr>
                <w:rFonts w:ascii="Times New Roman" w:eastAsia="Times New Roman" w:hAnsi="Times New Roman" w:cs="Times New Roman"/>
                <w:b/>
                <w:bCs/>
                <w:color w:val="000000"/>
                <w:sz w:val="20"/>
                <w:szCs w:val="20"/>
                <w:lang w:val="en-GB" w:eastAsia="nl-NL" w:bidi="ne-NP"/>
              </w:rPr>
            </w:pPr>
            <w:r w:rsidRPr="00E65648">
              <w:rPr>
                <w:rFonts w:ascii="Times New Roman" w:eastAsia="Times New Roman" w:hAnsi="Times New Roman" w:cs="Times New Roman"/>
                <w:b/>
                <w:bCs/>
                <w:color w:val="000000"/>
                <w:sz w:val="20"/>
                <w:szCs w:val="20"/>
                <w:lang w:val="en-GB" w:eastAsia="nl-NL" w:bidi="ne-NP"/>
              </w:rPr>
              <w:t>1.06x10</w:t>
            </w:r>
            <w:r w:rsidRPr="00E65648">
              <w:rPr>
                <w:rFonts w:ascii="Times New Roman" w:eastAsia="Times New Roman" w:hAnsi="Times New Roman" w:cs="Times New Roman"/>
                <w:b/>
                <w:bCs/>
                <w:color w:val="000000"/>
                <w:sz w:val="20"/>
                <w:szCs w:val="20"/>
                <w:vertAlign w:val="superscript"/>
                <w:lang w:val="en-GB" w:eastAsia="nl-NL" w:bidi="ne-NP"/>
              </w:rPr>
              <w:t>-7</w:t>
            </w:r>
          </w:p>
        </w:tc>
        <w:tc>
          <w:tcPr>
            <w:tcW w:w="1508" w:type="dxa"/>
            <w:vMerge/>
            <w:tcBorders>
              <w:top w:val="nil"/>
              <w:left w:val="nil"/>
              <w:bottom w:val="nil"/>
              <w:right w:val="nil"/>
            </w:tcBorders>
            <w:vAlign w:val="center"/>
            <w:hideMark/>
          </w:tcPr>
          <w:p w14:paraId="699FC55C" w14:textId="77777777" w:rsidR="00E65648" w:rsidRPr="00E65648" w:rsidRDefault="00E65648" w:rsidP="00E65648">
            <w:pPr>
              <w:spacing w:after="0" w:line="240" w:lineRule="auto"/>
              <w:rPr>
                <w:rFonts w:ascii="Times New Roman" w:eastAsia="Times New Roman" w:hAnsi="Times New Roman" w:cs="Times New Roman"/>
                <w:color w:val="000000"/>
                <w:sz w:val="20"/>
                <w:szCs w:val="20"/>
                <w:lang w:val="en-GB" w:eastAsia="nl-NL" w:bidi="ne-NP"/>
              </w:rPr>
            </w:pPr>
          </w:p>
        </w:tc>
      </w:tr>
      <w:tr w:rsidR="00E65648" w:rsidRPr="00E65648" w14:paraId="4A1CA459" w14:textId="77777777" w:rsidTr="00E65648">
        <w:trPr>
          <w:trHeight w:val="345"/>
        </w:trPr>
        <w:tc>
          <w:tcPr>
            <w:tcW w:w="2552" w:type="dxa"/>
            <w:tcBorders>
              <w:top w:val="nil"/>
              <w:left w:val="nil"/>
              <w:bottom w:val="nil"/>
              <w:right w:val="nil"/>
            </w:tcBorders>
            <w:shd w:val="clear" w:color="auto" w:fill="auto"/>
            <w:noWrap/>
            <w:vAlign w:val="bottom"/>
            <w:hideMark/>
          </w:tcPr>
          <w:p w14:paraId="4A25AE7B" w14:textId="77777777" w:rsidR="00E65648" w:rsidRPr="00E65648" w:rsidRDefault="00E65648" w:rsidP="00E65648">
            <w:pPr>
              <w:spacing w:after="0" w:line="240" w:lineRule="auto"/>
              <w:rPr>
                <w:rFonts w:ascii="Times New Roman" w:eastAsia="Times New Roman" w:hAnsi="Times New Roman" w:cs="Times New Roman"/>
                <w:color w:val="000000"/>
                <w:sz w:val="20"/>
                <w:szCs w:val="20"/>
                <w:lang w:val="en-GB" w:eastAsia="nl-NL" w:bidi="ne-NP"/>
              </w:rPr>
            </w:pPr>
            <w:r w:rsidRPr="00E65648">
              <w:rPr>
                <w:rFonts w:ascii="Times New Roman" w:eastAsia="Times New Roman" w:hAnsi="Times New Roman" w:cs="Times New Roman"/>
                <w:color w:val="000000"/>
                <w:sz w:val="20"/>
                <w:szCs w:val="20"/>
                <w:lang w:val="en-GB" w:eastAsia="nl-NL" w:bidi="ne-NP"/>
              </w:rPr>
              <w:t>Chronic illnesses</w:t>
            </w:r>
          </w:p>
        </w:tc>
        <w:tc>
          <w:tcPr>
            <w:tcW w:w="1701" w:type="dxa"/>
            <w:gridSpan w:val="2"/>
            <w:tcBorders>
              <w:top w:val="nil"/>
              <w:left w:val="nil"/>
              <w:bottom w:val="nil"/>
              <w:right w:val="nil"/>
            </w:tcBorders>
            <w:shd w:val="clear" w:color="auto" w:fill="auto"/>
            <w:noWrap/>
            <w:vAlign w:val="bottom"/>
            <w:hideMark/>
          </w:tcPr>
          <w:p w14:paraId="22A3789B" w14:textId="77777777" w:rsidR="00E65648" w:rsidRPr="00E65648" w:rsidRDefault="00E65648" w:rsidP="00E65648">
            <w:pPr>
              <w:spacing w:after="0" w:line="240" w:lineRule="auto"/>
              <w:jc w:val="center"/>
              <w:rPr>
                <w:rFonts w:ascii="Times New Roman" w:eastAsia="Times New Roman" w:hAnsi="Times New Roman" w:cs="Times New Roman"/>
                <w:color w:val="000000"/>
                <w:sz w:val="20"/>
                <w:szCs w:val="20"/>
                <w:lang w:val="en-GB" w:eastAsia="nl-NL" w:bidi="ne-NP"/>
              </w:rPr>
            </w:pPr>
            <w:r w:rsidRPr="00E65648">
              <w:rPr>
                <w:rFonts w:ascii="Times New Roman" w:eastAsia="Times New Roman" w:hAnsi="Times New Roman" w:cs="Times New Roman"/>
                <w:color w:val="000000"/>
                <w:sz w:val="20"/>
                <w:szCs w:val="20"/>
                <w:lang w:val="en-GB" w:eastAsia="nl-NL" w:bidi="ne-NP"/>
              </w:rPr>
              <w:t>-.81 (.03)</w:t>
            </w:r>
          </w:p>
        </w:tc>
        <w:tc>
          <w:tcPr>
            <w:tcW w:w="1894" w:type="dxa"/>
            <w:gridSpan w:val="2"/>
            <w:tcBorders>
              <w:top w:val="nil"/>
              <w:left w:val="nil"/>
              <w:bottom w:val="nil"/>
              <w:right w:val="nil"/>
            </w:tcBorders>
            <w:shd w:val="clear" w:color="auto" w:fill="auto"/>
            <w:noWrap/>
            <w:vAlign w:val="bottom"/>
            <w:hideMark/>
          </w:tcPr>
          <w:p w14:paraId="74569691" w14:textId="77777777" w:rsidR="00E65648" w:rsidRPr="00E65648" w:rsidRDefault="00E65648" w:rsidP="00E65648">
            <w:pPr>
              <w:spacing w:after="0" w:line="240" w:lineRule="auto"/>
              <w:jc w:val="center"/>
              <w:rPr>
                <w:rFonts w:ascii="Times New Roman" w:eastAsia="Times New Roman" w:hAnsi="Times New Roman" w:cs="Times New Roman"/>
                <w:b/>
                <w:bCs/>
                <w:color w:val="000000"/>
                <w:sz w:val="20"/>
                <w:szCs w:val="20"/>
                <w:lang w:val="en-GB" w:eastAsia="nl-NL" w:bidi="ne-NP"/>
              </w:rPr>
            </w:pPr>
            <w:r w:rsidRPr="00E65648">
              <w:rPr>
                <w:rFonts w:ascii="Times New Roman" w:eastAsia="Times New Roman" w:hAnsi="Times New Roman" w:cs="Times New Roman"/>
                <w:b/>
                <w:bCs/>
                <w:color w:val="000000"/>
                <w:sz w:val="20"/>
                <w:szCs w:val="20"/>
                <w:lang w:val="en-GB" w:eastAsia="nl-NL" w:bidi="ne-NP"/>
              </w:rPr>
              <w:t>1.64x10</w:t>
            </w:r>
            <w:r w:rsidRPr="00E65648">
              <w:rPr>
                <w:rFonts w:ascii="Times New Roman" w:eastAsia="Times New Roman" w:hAnsi="Times New Roman" w:cs="Times New Roman"/>
                <w:b/>
                <w:bCs/>
                <w:color w:val="000000"/>
                <w:sz w:val="20"/>
                <w:szCs w:val="20"/>
                <w:vertAlign w:val="superscript"/>
                <w:lang w:val="en-GB" w:eastAsia="nl-NL" w:bidi="ne-NP"/>
              </w:rPr>
              <w:t>-149</w:t>
            </w:r>
          </w:p>
        </w:tc>
        <w:tc>
          <w:tcPr>
            <w:tcW w:w="1508" w:type="dxa"/>
            <w:vMerge/>
            <w:tcBorders>
              <w:top w:val="nil"/>
              <w:left w:val="nil"/>
              <w:bottom w:val="nil"/>
              <w:right w:val="nil"/>
            </w:tcBorders>
            <w:vAlign w:val="center"/>
            <w:hideMark/>
          </w:tcPr>
          <w:p w14:paraId="38DB24B9" w14:textId="77777777" w:rsidR="00E65648" w:rsidRPr="00E65648" w:rsidRDefault="00E65648" w:rsidP="00E65648">
            <w:pPr>
              <w:spacing w:after="0" w:line="240" w:lineRule="auto"/>
              <w:rPr>
                <w:rFonts w:ascii="Times New Roman" w:eastAsia="Times New Roman" w:hAnsi="Times New Roman" w:cs="Times New Roman"/>
                <w:color w:val="000000"/>
                <w:sz w:val="20"/>
                <w:szCs w:val="20"/>
                <w:lang w:val="en-GB" w:eastAsia="nl-NL" w:bidi="ne-NP"/>
              </w:rPr>
            </w:pPr>
          </w:p>
        </w:tc>
      </w:tr>
      <w:tr w:rsidR="00E65648" w:rsidRPr="00E65648" w14:paraId="6C56028E" w14:textId="77777777" w:rsidTr="00E65648">
        <w:trPr>
          <w:trHeight w:val="345"/>
        </w:trPr>
        <w:tc>
          <w:tcPr>
            <w:tcW w:w="2552" w:type="dxa"/>
            <w:tcBorders>
              <w:top w:val="nil"/>
              <w:left w:val="nil"/>
              <w:bottom w:val="single" w:sz="4" w:space="0" w:color="auto"/>
              <w:right w:val="nil"/>
            </w:tcBorders>
            <w:shd w:val="clear" w:color="auto" w:fill="auto"/>
            <w:noWrap/>
            <w:vAlign w:val="bottom"/>
            <w:hideMark/>
          </w:tcPr>
          <w:p w14:paraId="47D9CDB0" w14:textId="77777777" w:rsidR="00E65648" w:rsidRPr="00E65648" w:rsidRDefault="00E65648" w:rsidP="00E65648">
            <w:pPr>
              <w:spacing w:after="0" w:line="240" w:lineRule="auto"/>
              <w:rPr>
                <w:rFonts w:ascii="Times New Roman" w:eastAsia="Times New Roman" w:hAnsi="Times New Roman" w:cs="Times New Roman"/>
                <w:color w:val="000000"/>
                <w:sz w:val="20"/>
                <w:szCs w:val="20"/>
                <w:lang w:val="en-GB" w:eastAsia="nl-NL" w:bidi="ne-NP"/>
              </w:rPr>
            </w:pPr>
            <w:r w:rsidRPr="00E65648">
              <w:rPr>
                <w:rFonts w:ascii="Times New Roman" w:eastAsia="Times New Roman" w:hAnsi="Times New Roman" w:cs="Times New Roman"/>
                <w:color w:val="000000"/>
                <w:sz w:val="20"/>
                <w:szCs w:val="20"/>
                <w:lang w:val="en-GB" w:eastAsia="nl-NL" w:bidi="ne-NP"/>
              </w:rPr>
              <w:t>Educational attainment</w:t>
            </w:r>
          </w:p>
        </w:tc>
        <w:tc>
          <w:tcPr>
            <w:tcW w:w="1701" w:type="dxa"/>
            <w:gridSpan w:val="2"/>
            <w:tcBorders>
              <w:top w:val="nil"/>
              <w:left w:val="nil"/>
              <w:bottom w:val="single" w:sz="4" w:space="0" w:color="auto"/>
              <w:right w:val="nil"/>
            </w:tcBorders>
            <w:shd w:val="clear" w:color="auto" w:fill="auto"/>
            <w:noWrap/>
            <w:vAlign w:val="bottom"/>
            <w:hideMark/>
          </w:tcPr>
          <w:p w14:paraId="09B4AD3C" w14:textId="77777777" w:rsidR="00E65648" w:rsidRPr="00E65648" w:rsidRDefault="00E65648" w:rsidP="00E65648">
            <w:pPr>
              <w:spacing w:after="0" w:line="240" w:lineRule="auto"/>
              <w:jc w:val="center"/>
              <w:rPr>
                <w:rFonts w:ascii="Times New Roman" w:eastAsia="Times New Roman" w:hAnsi="Times New Roman" w:cs="Times New Roman"/>
                <w:color w:val="000000"/>
                <w:sz w:val="20"/>
                <w:szCs w:val="20"/>
                <w:lang w:val="en-GB" w:eastAsia="nl-NL" w:bidi="ne-NP"/>
              </w:rPr>
            </w:pPr>
            <w:r w:rsidRPr="00E65648">
              <w:rPr>
                <w:rFonts w:ascii="Times New Roman" w:eastAsia="Times New Roman" w:hAnsi="Times New Roman" w:cs="Times New Roman"/>
                <w:color w:val="000000"/>
                <w:sz w:val="20"/>
                <w:szCs w:val="20"/>
                <w:lang w:val="en-GB" w:eastAsia="nl-NL" w:bidi="ne-NP"/>
              </w:rPr>
              <w:t>.12 (.01)</w:t>
            </w:r>
          </w:p>
        </w:tc>
        <w:tc>
          <w:tcPr>
            <w:tcW w:w="1894" w:type="dxa"/>
            <w:gridSpan w:val="2"/>
            <w:tcBorders>
              <w:top w:val="nil"/>
              <w:left w:val="nil"/>
              <w:bottom w:val="single" w:sz="4" w:space="0" w:color="auto"/>
              <w:right w:val="nil"/>
            </w:tcBorders>
            <w:shd w:val="clear" w:color="auto" w:fill="auto"/>
            <w:noWrap/>
            <w:vAlign w:val="bottom"/>
            <w:hideMark/>
          </w:tcPr>
          <w:p w14:paraId="73669788" w14:textId="77777777" w:rsidR="00E65648" w:rsidRPr="00E65648" w:rsidRDefault="00E65648" w:rsidP="00E65648">
            <w:pPr>
              <w:spacing w:after="0" w:line="240" w:lineRule="auto"/>
              <w:jc w:val="center"/>
              <w:rPr>
                <w:rFonts w:ascii="Times New Roman" w:eastAsia="Times New Roman" w:hAnsi="Times New Roman" w:cs="Times New Roman"/>
                <w:b/>
                <w:bCs/>
                <w:color w:val="000000"/>
                <w:sz w:val="20"/>
                <w:szCs w:val="20"/>
                <w:lang w:val="en-GB" w:eastAsia="nl-NL" w:bidi="ne-NP"/>
              </w:rPr>
            </w:pPr>
            <w:r w:rsidRPr="00E65648">
              <w:rPr>
                <w:rFonts w:ascii="Times New Roman" w:eastAsia="Times New Roman" w:hAnsi="Times New Roman" w:cs="Times New Roman"/>
                <w:b/>
                <w:bCs/>
                <w:color w:val="000000"/>
                <w:sz w:val="20"/>
                <w:szCs w:val="20"/>
                <w:lang w:val="en-GB" w:eastAsia="nl-NL" w:bidi="ne-NP"/>
              </w:rPr>
              <w:t>3.68x10</w:t>
            </w:r>
            <w:r w:rsidRPr="00E65648">
              <w:rPr>
                <w:rFonts w:ascii="Times New Roman" w:eastAsia="Times New Roman" w:hAnsi="Times New Roman" w:cs="Times New Roman"/>
                <w:b/>
                <w:bCs/>
                <w:color w:val="000000"/>
                <w:sz w:val="20"/>
                <w:szCs w:val="20"/>
                <w:vertAlign w:val="superscript"/>
                <w:lang w:val="en-GB" w:eastAsia="nl-NL" w:bidi="ne-NP"/>
              </w:rPr>
              <w:t>-16</w:t>
            </w:r>
          </w:p>
        </w:tc>
        <w:tc>
          <w:tcPr>
            <w:tcW w:w="1508" w:type="dxa"/>
            <w:tcBorders>
              <w:top w:val="nil"/>
              <w:left w:val="nil"/>
              <w:bottom w:val="single" w:sz="4" w:space="0" w:color="auto"/>
              <w:right w:val="nil"/>
            </w:tcBorders>
            <w:shd w:val="clear" w:color="auto" w:fill="auto"/>
            <w:noWrap/>
            <w:vAlign w:val="center"/>
            <w:hideMark/>
          </w:tcPr>
          <w:p w14:paraId="41D03A36" w14:textId="77777777" w:rsidR="00E65648" w:rsidRPr="00E65648" w:rsidRDefault="00E65648" w:rsidP="00E65648">
            <w:pPr>
              <w:spacing w:after="0" w:line="240" w:lineRule="auto"/>
              <w:jc w:val="center"/>
              <w:rPr>
                <w:rFonts w:ascii="Times New Roman" w:eastAsia="Times New Roman" w:hAnsi="Times New Roman" w:cs="Times New Roman"/>
                <w:color w:val="000000"/>
                <w:sz w:val="20"/>
                <w:szCs w:val="20"/>
                <w:lang w:val="en-GB" w:eastAsia="nl-NL" w:bidi="ne-NP"/>
              </w:rPr>
            </w:pPr>
            <w:r w:rsidRPr="00E65648">
              <w:rPr>
                <w:rFonts w:ascii="Times New Roman" w:eastAsia="Times New Roman" w:hAnsi="Times New Roman" w:cs="Times New Roman"/>
                <w:color w:val="000000"/>
                <w:sz w:val="20"/>
                <w:szCs w:val="20"/>
                <w:lang w:val="en-GB" w:eastAsia="nl-NL" w:bidi="ne-NP"/>
              </w:rPr>
              <w:t> </w:t>
            </w:r>
          </w:p>
        </w:tc>
      </w:tr>
      <w:tr w:rsidR="00E65648" w:rsidRPr="00E65648" w14:paraId="03DA91DA" w14:textId="77777777" w:rsidTr="00E65648">
        <w:trPr>
          <w:trHeight w:val="300"/>
        </w:trPr>
        <w:tc>
          <w:tcPr>
            <w:tcW w:w="2552" w:type="dxa"/>
            <w:tcBorders>
              <w:top w:val="nil"/>
              <w:left w:val="nil"/>
              <w:bottom w:val="nil"/>
              <w:right w:val="nil"/>
            </w:tcBorders>
            <w:shd w:val="clear" w:color="auto" w:fill="auto"/>
            <w:noWrap/>
            <w:vAlign w:val="bottom"/>
            <w:hideMark/>
          </w:tcPr>
          <w:p w14:paraId="3AACF2BA" w14:textId="77777777" w:rsidR="00E65648" w:rsidRPr="00E65648" w:rsidRDefault="00E65648" w:rsidP="00E65648">
            <w:pPr>
              <w:spacing w:after="0" w:line="240" w:lineRule="auto"/>
              <w:rPr>
                <w:rFonts w:ascii="Times New Roman" w:eastAsia="Times New Roman" w:hAnsi="Times New Roman" w:cs="Times New Roman"/>
                <w:b/>
                <w:bCs/>
                <w:color w:val="000000"/>
                <w:sz w:val="20"/>
                <w:szCs w:val="20"/>
                <w:lang w:val="en-GB" w:eastAsia="nl-NL" w:bidi="ne-NP"/>
              </w:rPr>
            </w:pPr>
            <w:r w:rsidRPr="00E65648">
              <w:rPr>
                <w:rFonts w:ascii="Times New Roman" w:eastAsia="Times New Roman" w:hAnsi="Times New Roman" w:cs="Times New Roman"/>
                <w:b/>
                <w:bCs/>
                <w:color w:val="000000"/>
                <w:sz w:val="20"/>
                <w:szCs w:val="20"/>
                <w:lang w:val="en-GB" w:eastAsia="nl-NL" w:bidi="ne-NP"/>
              </w:rPr>
              <w:t>Difference scores</w:t>
            </w:r>
          </w:p>
        </w:tc>
        <w:tc>
          <w:tcPr>
            <w:tcW w:w="1701" w:type="dxa"/>
            <w:gridSpan w:val="2"/>
            <w:tcBorders>
              <w:top w:val="nil"/>
              <w:left w:val="nil"/>
              <w:bottom w:val="nil"/>
              <w:right w:val="nil"/>
            </w:tcBorders>
            <w:shd w:val="clear" w:color="auto" w:fill="auto"/>
            <w:noWrap/>
            <w:vAlign w:val="bottom"/>
            <w:hideMark/>
          </w:tcPr>
          <w:p w14:paraId="17E8AE34" w14:textId="77777777" w:rsidR="00E65648" w:rsidRPr="00E65648" w:rsidRDefault="00E65648" w:rsidP="00E65648">
            <w:pPr>
              <w:spacing w:after="0" w:line="240" w:lineRule="auto"/>
              <w:jc w:val="center"/>
              <w:rPr>
                <w:rFonts w:ascii="Times New Roman" w:eastAsia="Times New Roman" w:hAnsi="Times New Roman" w:cs="Times New Roman"/>
                <w:color w:val="000000"/>
                <w:sz w:val="20"/>
                <w:szCs w:val="20"/>
                <w:lang w:val="en-GB" w:eastAsia="nl-NL" w:bidi="ne-NP"/>
              </w:rPr>
            </w:pPr>
            <w:r w:rsidRPr="00E65648">
              <w:rPr>
                <w:rFonts w:ascii="Times New Roman" w:eastAsia="Times New Roman" w:hAnsi="Times New Roman" w:cs="Times New Roman"/>
                <w:color w:val="000000"/>
                <w:sz w:val="20"/>
                <w:szCs w:val="20"/>
                <w:lang w:val="en-GB" w:eastAsia="nl-NL" w:bidi="ne-NP"/>
              </w:rPr>
              <w:t> </w:t>
            </w:r>
          </w:p>
        </w:tc>
        <w:tc>
          <w:tcPr>
            <w:tcW w:w="1894" w:type="dxa"/>
            <w:gridSpan w:val="2"/>
            <w:tcBorders>
              <w:top w:val="nil"/>
              <w:left w:val="nil"/>
              <w:bottom w:val="nil"/>
              <w:right w:val="nil"/>
            </w:tcBorders>
            <w:shd w:val="clear" w:color="auto" w:fill="auto"/>
            <w:noWrap/>
            <w:vAlign w:val="bottom"/>
            <w:hideMark/>
          </w:tcPr>
          <w:p w14:paraId="546FB231" w14:textId="77777777" w:rsidR="00E65648" w:rsidRPr="00E65648" w:rsidRDefault="00E65648" w:rsidP="00E65648">
            <w:pPr>
              <w:spacing w:after="0" w:line="240" w:lineRule="auto"/>
              <w:jc w:val="center"/>
              <w:rPr>
                <w:rFonts w:ascii="Times New Roman" w:eastAsia="Times New Roman" w:hAnsi="Times New Roman" w:cs="Times New Roman"/>
                <w:b/>
                <w:bCs/>
                <w:color w:val="000000"/>
                <w:sz w:val="20"/>
                <w:szCs w:val="20"/>
                <w:lang w:val="en-GB" w:eastAsia="nl-NL" w:bidi="ne-NP"/>
              </w:rPr>
            </w:pPr>
            <w:r w:rsidRPr="00E65648">
              <w:rPr>
                <w:rFonts w:ascii="Times New Roman" w:eastAsia="Times New Roman" w:hAnsi="Times New Roman" w:cs="Times New Roman"/>
                <w:b/>
                <w:bCs/>
                <w:color w:val="000000"/>
                <w:sz w:val="20"/>
                <w:szCs w:val="20"/>
                <w:lang w:val="en-GB" w:eastAsia="nl-NL" w:bidi="ne-NP"/>
              </w:rPr>
              <w:t> </w:t>
            </w:r>
          </w:p>
        </w:tc>
        <w:tc>
          <w:tcPr>
            <w:tcW w:w="1508" w:type="dxa"/>
            <w:tcBorders>
              <w:top w:val="nil"/>
              <w:left w:val="nil"/>
              <w:bottom w:val="nil"/>
              <w:right w:val="nil"/>
            </w:tcBorders>
            <w:shd w:val="clear" w:color="auto" w:fill="auto"/>
            <w:noWrap/>
            <w:vAlign w:val="bottom"/>
            <w:hideMark/>
          </w:tcPr>
          <w:p w14:paraId="5C13EF92" w14:textId="77777777" w:rsidR="00E65648" w:rsidRPr="00E65648" w:rsidRDefault="00E65648" w:rsidP="00E65648">
            <w:pPr>
              <w:spacing w:after="0" w:line="240" w:lineRule="auto"/>
              <w:jc w:val="center"/>
              <w:rPr>
                <w:rFonts w:ascii="Times New Roman" w:eastAsia="Times New Roman" w:hAnsi="Times New Roman" w:cs="Times New Roman"/>
                <w:color w:val="000000"/>
                <w:sz w:val="20"/>
                <w:szCs w:val="20"/>
                <w:lang w:val="en-GB" w:eastAsia="nl-NL" w:bidi="ne-NP"/>
              </w:rPr>
            </w:pPr>
            <w:r w:rsidRPr="00E65648">
              <w:rPr>
                <w:rFonts w:ascii="Times New Roman" w:eastAsia="Times New Roman" w:hAnsi="Times New Roman" w:cs="Times New Roman"/>
                <w:color w:val="000000"/>
                <w:sz w:val="20"/>
                <w:szCs w:val="20"/>
                <w:lang w:val="en-GB" w:eastAsia="nl-NL" w:bidi="ne-NP"/>
              </w:rPr>
              <w:t> </w:t>
            </w:r>
          </w:p>
        </w:tc>
      </w:tr>
      <w:tr w:rsidR="00E65648" w:rsidRPr="00E65648" w14:paraId="58893820" w14:textId="77777777" w:rsidTr="00E65648">
        <w:trPr>
          <w:trHeight w:val="300"/>
        </w:trPr>
        <w:tc>
          <w:tcPr>
            <w:tcW w:w="2552" w:type="dxa"/>
            <w:tcBorders>
              <w:top w:val="nil"/>
              <w:left w:val="nil"/>
              <w:bottom w:val="nil"/>
              <w:right w:val="nil"/>
            </w:tcBorders>
            <w:shd w:val="clear" w:color="auto" w:fill="auto"/>
            <w:noWrap/>
            <w:vAlign w:val="bottom"/>
            <w:hideMark/>
          </w:tcPr>
          <w:p w14:paraId="731A1B8E" w14:textId="77777777" w:rsidR="00E65648" w:rsidRPr="00E65648" w:rsidRDefault="00E65648" w:rsidP="00E65648">
            <w:pPr>
              <w:spacing w:after="0" w:line="240" w:lineRule="auto"/>
              <w:rPr>
                <w:rFonts w:ascii="Times New Roman" w:eastAsia="Times New Roman" w:hAnsi="Times New Roman" w:cs="Times New Roman"/>
                <w:color w:val="000000"/>
                <w:sz w:val="20"/>
                <w:szCs w:val="20"/>
                <w:lang w:val="en-GB" w:eastAsia="nl-NL" w:bidi="ne-NP"/>
              </w:rPr>
            </w:pPr>
            <w:r w:rsidRPr="00E65648">
              <w:rPr>
                <w:rFonts w:ascii="Times New Roman" w:eastAsia="Times New Roman" w:hAnsi="Times New Roman" w:cs="Times New Roman"/>
                <w:color w:val="000000"/>
                <w:sz w:val="20"/>
                <w:szCs w:val="20"/>
                <w:lang w:val="en-GB" w:eastAsia="nl-NL" w:bidi="ne-NP"/>
              </w:rPr>
              <w:t xml:space="preserve">Gender </w:t>
            </w:r>
          </w:p>
        </w:tc>
        <w:tc>
          <w:tcPr>
            <w:tcW w:w="1701" w:type="dxa"/>
            <w:gridSpan w:val="2"/>
            <w:tcBorders>
              <w:top w:val="nil"/>
              <w:left w:val="nil"/>
              <w:bottom w:val="nil"/>
              <w:right w:val="nil"/>
            </w:tcBorders>
            <w:shd w:val="clear" w:color="auto" w:fill="auto"/>
            <w:noWrap/>
            <w:vAlign w:val="bottom"/>
            <w:hideMark/>
          </w:tcPr>
          <w:p w14:paraId="4B9FFBBD" w14:textId="689C91C6" w:rsidR="00E65648" w:rsidRPr="00E65648" w:rsidRDefault="00E65648" w:rsidP="00E65648">
            <w:pPr>
              <w:spacing w:after="0" w:line="240" w:lineRule="auto"/>
              <w:jc w:val="center"/>
              <w:rPr>
                <w:rFonts w:ascii="Times New Roman" w:eastAsia="Times New Roman" w:hAnsi="Times New Roman" w:cs="Times New Roman"/>
                <w:color w:val="000000"/>
                <w:sz w:val="20"/>
                <w:szCs w:val="20"/>
                <w:lang w:val="en-GB" w:eastAsia="nl-NL" w:bidi="ne-NP"/>
              </w:rPr>
            </w:pPr>
            <w:r w:rsidRPr="00E65648">
              <w:rPr>
                <w:rFonts w:ascii="Times New Roman" w:eastAsia="Times New Roman" w:hAnsi="Times New Roman" w:cs="Times New Roman"/>
                <w:color w:val="000000"/>
                <w:sz w:val="20"/>
                <w:szCs w:val="20"/>
                <w:lang w:val="en-GB" w:eastAsia="nl-NL" w:bidi="ne-NP"/>
              </w:rPr>
              <w:t>-.0</w:t>
            </w:r>
            <w:r>
              <w:rPr>
                <w:rFonts w:ascii="Times New Roman" w:eastAsia="Times New Roman" w:hAnsi="Times New Roman" w:cs="Times New Roman"/>
                <w:color w:val="000000"/>
                <w:sz w:val="20"/>
                <w:szCs w:val="20"/>
                <w:lang w:val="en-GB" w:eastAsia="nl-NL" w:bidi="ne-NP"/>
              </w:rPr>
              <w:t>6</w:t>
            </w:r>
            <w:r w:rsidRPr="00E65648">
              <w:rPr>
                <w:rFonts w:ascii="Times New Roman" w:eastAsia="Times New Roman" w:hAnsi="Times New Roman" w:cs="Times New Roman"/>
                <w:color w:val="000000"/>
                <w:sz w:val="20"/>
                <w:szCs w:val="20"/>
                <w:lang w:val="en-GB" w:eastAsia="nl-NL" w:bidi="ne-NP"/>
              </w:rPr>
              <w:t xml:space="preserve"> (.0</w:t>
            </w:r>
            <w:r>
              <w:rPr>
                <w:rFonts w:ascii="Times New Roman" w:eastAsia="Times New Roman" w:hAnsi="Times New Roman" w:cs="Times New Roman"/>
                <w:color w:val="000000"/>
                <w:sz w:val="20"/>
                <w:szCs w:val="20"/>
                <w:lang w:val="en-GB" w:eastAsia="nl-NL" w:bidi="ne-NP"/>
              </w:rPr>
              <w:t>3</w:t>
            </w:r>
            <w:r w:rsidRPr="00E65648">
              <w:rPr>
                <w:rFonts w:ascii="Times New Roman" w:eastAsia="Times New Roman" w:hAnsi="Times New Roman" w:cs="Times New Roman"/>
                <w:color w:val="000000"/>
                <w:sz w:val="20"/>
                <w:szCs w:val="20"/>
                <w:lang w:val="en-GB" w:eastAsia="nl-NL" w:bidi="ne-NP"/>
              </w:rPr>
              <w:t>)</w:t>
            </w:r>
          </w:p>
        </w:tc>
        <w:tc>
          <w:tcPr>
            <w:tcW w:w="1894" w:type="dxa"/>
            <w:gridSpan w:val="2"/>
            <w:tcBorders>
              <w:top w:val="nil"/>
              <w:left w:val="nil"/>
              <w:bottom w:val="nil"/>
              <w:right w:val="nil"/>
            </w:tcBorders>
            <w:shd w:val="clear" w:color="auto" w:fill="auto"/>
            <w:noWrap/>
            <w:vAlign w:val="bottom"/>
            <w:hideMark/>
          </w:tcPr>
          <w:p w14:paraId="538963E4" w14:textId="37AFCFBA" w:rsidR="00E65648" w:rsidRPr="00E65648" w:rsidRDefault="00E65648" w:rsidP="00E65648">
            <w:pPr>
              <w:spacing w:after="0" w:line="240" w:lineRule="auto"/>
              <w:jc w:val="center"/>
              <w:rPr>
                <w:rFonts w:ascii="Times New Roman" w:eastAsia="Times New Roman" w:hAnsi="Times New Roman" w:cs="Times New Roman"/>
                <w:color w:val="000000"/>
                <w:sz w:val="20"/>
                <w:szCs w:val="20"/>
                <w:lang w:val="en-GB" w:eastAsia="nl-NL" w:bidi="ne-NP"/>
              </w:rPr>
            </w:pPr>
            <w:r w:rsidRPr="00E65648">
              <w:rPr>
                <w:rFonts w:ascii="Times New Roman" w:eastAsia="Times New Roman" w:hAnsi="Times New Roman" w:cs="Times New Roman"/>
                <w:color w:val="000000"/>
                <w:sz w:val="20"/>
                <w:szCs w:val="20"/>
                <w:lang w:val="en-GB" w:eastAsia="nl-NL" w:bidi="ne-NP"/>
              </w:rPr>
              <w:t>.0</w:t>
            </w:r>
            <w:r>
              <w:rPr>
                <w:rFonts w:ascii="Times New Roman" w:eastAsia="Times New Roman" w:hAnsi="Times New Roman" w:cs="Times New Roman"/>
                <w:color w:val="000000"/>
                <w:sz w:val="20"/>
                <w:szCs w:val="20"/>
                <w:lang w:val="en-GB" w:eastAsia="nl-NL" w:bidi="ne-NP"/>
              </w:rPr>
              <w:t>34</w:t>
            </w:r>
          </w:p>
        </w:tc>
        <w:tc>
          <w:tcPr>
            <w:tcW w:w="1508" w:type="dxa"/>
            <w:vMerge w:val="restart"/>
            <w:tcBorders>
              <w:top w:val="nil"/>
              <w:left w:val="nil"/>
              <w:bottom w:val="single" w:sz="4" w:space="0" w:color="000000"/>
              <w:right w:val="nil"/>
            </w:tcBorders>
            <w:shd w:val="clear" w:color="auto" w:fill="auto"/>
            <w:noWrap/>
            <w:vAlign w:val="center"/>
            <w:hideMark/>
          </w:tcPr>
          <w:p w14:paraId="58CA00B0" w14:textId="1C3D53C0" w:rsidR="00E65648" w:rsidRPr="00E65648" w:rsidRDefault="00E65648" w:rsidP="00E65648">
            <w:pPr>
              <w:spacing w:after="0" w:line="240" w:lineRule="auto"/>
              <w:jc w:val="center"/>
              <w:rPr>
                <w:rFonts w:ascii="Times New Roman" w:eastAsia="Times New Roman" w:hAnsi="Times New Roman" w:cs="Times New Roman"/>
                <w:color w:val="000000"/>
                <w:sz w:val="20"/>
                <w:szCs w:val="20"/>
                <w:lang w:val="en-GB" w:eastAsia="nl-NL" w:bidi="ne-NP"/>
              </w:rPr>
            </w:pPr>
            <w:r>
              <w:rPr>
                <w:rFonts w:ascii="Times New Roman" w:eastAsia="Times New Roman" w:hAnsi="Times New Roman" w:cs="Times New Roman"/>
                <w:color w:val="000000"/>
                <w:sz w:val="20"/>
                <w:szCs w:val="20"/>
                <w:lang w:val="en-GB" w:eastAsia="nl-NL" w:bidi="ne-NP"/>
              </w:rPr>
              <w:t>5156</w:t>
            </w:r>
          </w:p>
        </w:tc>
      </w:tr>
      <w:tr w:rsidR="00E65648" w:rsidRPr="00E65648" w14:paraId="2E4CD65F" w14:textId="77777777" w:rsidTr="00E65648">
        <w:trPr>
          <w:trHeight w:val="300"/>
        </w:trPr>
        <w:tc>
          <w:tcPr>
            <w:tcW w:w="2552" w:type="dxa"/>
            <w:tcBorders>
              <w:top w:val="nil"/>
              <w:left w:val="nil"/>
              <w:bottom w:val="nil"/>
              <w:right w:val="nil"/>
            </w:tcBorders>
            <w:shd w:val="clear" w:color="auto" w:fill="auto"/>
            <w:noWrap/>
            <w:vAlign w:val="bottom"/>
            <w:hideMark/>
          </w:tcPr>
          <w:p w14:paraId="233B1BD0" w14:textId="77777777" w:rsidR="00E65648" w:rsidRPr="00E65648" w:rsidRDefault="00E65648" w:rsidP="00E65648">
            <w:pPr>
              <w:spacing w:after="0" w:line="240" w:lineRule="auto"/>
              <w:rPr>
                <w:rFonts w:ascii="Times New Roman" w:eastAsia="Times New Roman" w:hAnsi="Times New Roman" w:cs="Times New Roman"/>
                <w:color w:val="000000"/>
                <w:sz w:val="20"/>
                <w:szCs w:val="20"/>
                <w:lang w:val="en-GB" w:eastAsia="nl-NL" w:bidi="ne-NP"/>
              </w:rPr>
            </w:pPr>
            <w:r w:rsidRPr="00E65648">
              <w:rPr>
                <w:rFonts w:ascii="Times New Roman" w:eastAsia="Times New Roman" w:hAnsi="Times New Roman" w:cs="Times New Roman"/>
                <w:color w:val="000000"/>
                <w:sz w:val="20"/>
                <w:szCs w:val="20"/>
                <w:lang w:val="en-GB" w:eastAsia="nl-NL" w:bidi="ne-NP"/>
              </w:rPr>
              <w:t>Age</w:t>
            </w:r>
          </w:p>
        </w:tc>
        <w:tc>
          <w:tcPr>
            <w:tcW w:w="1701" w:type="dxa"/>
            <w:gridSpan w:val="2"/>
            <w:tcBorders>
              <w:top w:val="nil"/>
              <w:left w:val="nil"/>
              <w:bottom w:val="nil"/>
              <w:right w:val="nil"/>
            </w:tcBorders>
            <w:shd w:val="clear" w:color="auto" w:fill="auto"/>
            <w:noWrap/>
            <w:vAlign w:val="bottom"/>
            <w:hideMark/>
          </w:tcPr>
          <w:p w14:paraId="2DA6BB87" w14:textId="372F9B45" w:rsidR="00E65648" w:rsidRPr="00E65648" w:rsidRDefault="00E65648" w:rsidP="00E65648">
            <w:pPr>
              <w:spacing w:after="0" w:line="240" w:lineRule="auto"/>
              <w:jc w:val="center"/>
              <w:rPr>
                <w:rFonts w:ascii="Times New Roman" w:eastAsia="Times New Roman" w:hAnsi="Times New Roman" w:cs="Times New Roman"/>
                <w:color w:val="000000"/>
                <w:sz w:val="20"/>
                <w:szCs w:val="20"/>
                <w:lang w:val="en-GB" w:eastAsia="nl-NL" w:bidi="ne-NP"/>
              </w:rPr>
            </w:pPr>
            <w:r w:rsidRPr="00E65648">
              <w:rPr>
                <w:rFonts w:ascii="Times New Roman" w:eastAsia="Times New Roman" w:hAnsi="Times New Roman" w:cs="Times New Roman"/>
                <w:color w:val="000000"/>
                <w:sz w:val="20"/>
                <w:szCs w:val="20"/>
                <w:lang w:val="en-GB" w:eastAsia="nl-NL" w:bidi="ne-NP"/>
              </w:rPr>
              <w:t>.</w:t>
            </w:r>
            <w:r>
              <w:rPr>
                <w:rFonts w:ascii="Times New Roman" w:eastAsia="Times New Roman" w:hAnsi="Times New Roman" w:cs="Times New Roman"/>
                <w:color w:val="000000"/>
                <w:sz w:val="20"/>
                <w:szCs w:val="20"/>
                <w:lang w:val="en-GB" w:eastAsia="nl-NL" w:bidi="ne-NP"/>
              </w:rPr>
              <w:t>02</w:t>
            </w:r>
            <w:r w:rsidRPr="00E65648">
              <w:rPr>
                <w:rFonts w:ascii="Times New Roman" w:eastAsia="Times New Roman" w:hAnsi="Times New Roman" w:cs="Times New Roman"/>
                <w:color w:val="000000"/>
                <w:sz w:val="20"/>
                <w:szCs w:val="20"/>
                <w:lang w:val="en-GB" w:eastAsia="nl-NL" w:bidi="ne-NP"/>
              </w:rPr>
              <w:t xml:space="preserve"> (.0</w:t>
            </w:r>
            <w:r>
              <w:rPr>
                <w:rFonts w:ascii="Times New Roman" w:eastAsia="Times New Roman" w:hAnsi="Times New Roman" w:cs="Times New Roman"/>
                <w:color w:val="000000"/>
                <w:sz w:val="20"/>
                <w:szCs w:val="20"/>
                <w:lang w:val="en-GB" w:eastAsia="nl-NL" w:bidi="ne-NP"/>
              </w:rPr>
              <w:t>2</w:t>
            </w:r>
            <w:r w:rsidRPr="00E65648">
              <w:rPr>
                <w:rFonts w:ascii="Times New Roman" w:eastAsia="Times New Roman" w:hAnsi="Times New Roman" w:cs="Times New Roman"/>
                <w:color w:val="000000"/>
                <w:sz w:val="20"/>
                <w:szCs w:val="20"/>
                <w:lang w:val="en-GB" w:eastAsia="nl-NL" w:bidi="ne-NP"/>
              </w:rPr>
              <w:t>)</w:t>
            </w:r>
          </w:p>
        </w:tc>
        <w:tc>
          <w:tcPr>
            <w:tcW w:w="1894" w:type="dxa"/>
            <w:gridSpan w:val="2"/>
            <w:tcBorders>
              <w:top w:val="nil"/>
              <w:left w:val="nil"/>
              <w:bottom w:val="nil"/>
              <w:right w:val="nil"/>
            </w:tcBorders>
            <w:shd w:val="clear" w:color="auto" w:fill="auto"/>
            <w:noWrap/>
            <w:vAlign w:val="bottom"/>
            <w:hideMark/>
          </w:tcPr>
          <w:p w14:paraId="7074F006" w14:textId="1935CAC8" w:rsidR="00E65648" w:rsidRPr="00E65648" w:rsidRDefault="00E65648" w:rsidP="00E65648">
            <w:pPr>
              <w:spacing w:after="0" w:line="240" w:lineRule="auto"/>
              <w:jc w:val="center"/>
              <w:rPr>
                <w:rFonts w:ascii="Times New Roman" w:eastAsia="Times New Roman" w:hAnsi="Times New Roman" w:cs="Times New Roman"/>
                <w:color w:val="000000"/>
                <w:sz w:val="20"/>
                <w:szCs w:val="20"/>
                <w:lang w:val="en-GB" w:eastAsia="nl-NL" w:bidi="ne-NP"/>
              </w:rPr>
            </w:pPr>
            <w:r w:rsidRPr="00E65648">
              <w:rPr>
                <w:rFonts w:ascii="Times New Roman" w:eastAsia="Times New Roman" w:hAnsi="Times New Roman" w:cs="Times New Roman"/>
                <w:color w:val="000000"/>
                <w:sz w:val="20"/>
                <w:szCs w:val="20"/>
                <w:lang w:val="en-GB" w:eastAsia="nl-NL" w:bidi="ne-NP"/>
              </w:rPr>
              <w:t>.</w:t>
            </w:r>
            <w:r>
              <w:rPr>
                <w:rFonts w:ascii="Times New Roman" w:eastAsia="Times New Roman" w:hAnsi="Times New Roman" w:cs="Times New Roman"/>
                <w:color w:val="000000"/>
                <w:sz w:val="20"/>
                <w:szCs w:val="20"/>
                <w:lang w:val="en-GB" w:eastAsia="nl-NL" w:bidi="ne-NP"/>
              </w:rPr>
              <w:t>277</w:t>
            </w:r>
          </w:p>
        </w:tc>
        <w:tc>
          <w:tcPr>
            <w:tcW w:w="1508" w:type="dxa"/>
            <w:vMerge/>
            <w:tcBorders>
              <w:top w:val="nil"/>
              <w:left w:val="nil"/>
              <w:bottom w:val="single" w:sz="4" w:space="0" w:color="000000"/>
              <w:right w:val="nil"/>
            </w:tcBorders>
            <w:vAlign w:val="center"/>
            <w:hideMark/>
          </w:tcPr>
          <w:p w14:paraId="5129090B" w14:textId="77777777" w:rsidR="00E65648" w:rsidRPr="00E65648" w:rsidRDefault="00E65648" w:rsidP="00E65648">
            <w:pPr>
              <w:spacing w:after="0" w:line="240" w:lineRule="auto"/>
              <w:rPr>
                <w:rFonts w:ascii="Times New Roman" w:eastAsia="Times New Roman" w:hAnsi="Times New Roman" w:cs="Times New Roman"/>
                <w:color w:val="000000"/>
                <w:sz w:val="20"/>
                <w:szCs w:val="20"/>
                <w:lang w:val="en-GB" w:eastAsia="nl-NL" w:bidi="ne-NP"/>
              </w:rPr>
            </w:pPr>
          </w:p>
        </w:tc>
      </w:tr>
      <w:tr w:rsidR="00E65648" w:rsidRPr="00E65648" w14:paraId="67E87F4D" w14:textId="77777777" w:rsidTr="00E65648">
        <w:trPr>
          <w:trHeight w:val="300"/>
        </w:trPr>
        <w:tc>
          <w:tcPr>
            <w:tcW w:w="2552" w:type="dxa"/>
            <w:tcBorders>
              <w:top w:val="nil"/>
              <w:left w:val="nil"/>
              <w:bottom w:val="nil"/>
              <w:right w:val="nil"/>
            </w:tcBorders>
            <w:shd w:val="clear" w:color="auto" w:fill="auto"/>
            <w:noWrap/>
            <w:vAlign w:val="bottom"/>
            <w:hideMark/>
          </w:tcPr>
          <w:p w14:paraId="54C8B927" w14:textId="77777777" w:rsidR="00E65648" w:rsidRPr="00E65648" w:rsidRDefault="00E65648" w:rsidP="00E65648">
            <w:pPr>
              <w:spacing w:after="0" w:line="240" w:lineRule="auto"/>
              <w:rPr>
                <w:rFonts w:ascii="Times New Roman" w:eastAsia="Times New Roman" w:hAnsi="Times New Roman" w:cs="Times New Roman"/>
                <w:color w:val="000000"/>
                <w:sz w:val="20"/>
                <w:szCs w:val="20"/>
                <w:lang w:val="en-GB" w:eastAsia="nl-NL" w:bidi="ne-NP"/>
              </w:rPr>
            </w:pPr>
            <w:r w:rsidRPr="00E65648">
              <w:rPr>
                <w:rFonts w:ascii="Times New Roman" w:eastAsia="Times New Roman" w:hAnsi="Times New Roman" w:cs="Times New Roman"/>
                <w:color w:val="000000"/>
                <w:sz w:val="20"/>
                <w:szCs w:val="20"/>
                <w:lang w:val="en-GB" w:eastAsia="nl-NL" w:bidi="ne-NP"/>
              </w:rPr>
              <w:t>Chronic illnesses</w:t>
            </w:r>
          </w:p>
        </w:tc>
        <w:tc>
          <w:tcPr>
            <w:tcW w:w="1701" w:type="dxa"/>
            <w:gridSpan w:val="2"/>
            <w:tcBorders>
              <w:top w:val="nil"/>
              <w:left w:val="nil"/>
              <w:bottom w:val="nil"/>
              <w:right w:val="nil"/>
            </w:tcBorders>
            <w:shd w:val="clear" w:color="auto" w:fill="auto"/>
            <w:noWrap/>
            <w:vAlign w:val="bottom"/>
            <w:hideMark/>
          </w:tcPr>
          <w:p w14:paraId="3373E150" w14:textId="32A42A5C" w:rsidR="00E65648" w:rsidRPr="00E65648" w:rsidRDefault="00E65648" w:rsidP="00E65648">
            <w:pPr>
              <w:spacing w:after="0" w:line="240" w:lineRule="auto"/>
              <w:jc w:val="center"/>
              <w:rPr>
                <w:rFonts w:ascii="Times New Roman" w:eastAsia="Times New Roman" w:hAnsi="Times New Roman" w:cs="Times New Roman"/>
                <w:color w:val="000000"/>
                <w:sz w:val="20"/>
                <w:szCs w:val="20"/>
                <w:lang w:val="en-GB" w:eastAsia="nl-NL" w:bidi="ne-NP"/>
              </w:rPr>
            </w:pPr>
            <w:r w:rsidRPr="00E65648">
              <w:rPr>
                <w:rFonts w:ascii="Times New Roman" w:eastAsia="Times New Roman" w:hAnsi="Times New Roman" w:cs="Times New Roman"/>
                <w:color w:val="000000"/>
                <w:sz w:val="20"/>
                <w:szCs w:val="20"/>
                <w:lang w:val="en-GB" w:eastAsia="nl-NL" w:bidi="ne-NP"/>
              </w:rPr>
              <w:t>.</w:t>
            </w:r>
            <w:r>
              <w:rPr>
                <w:rFonts w:ascii="Times New Roman" w:eastAsia="Times New Roman" w:hAnsi="Times New Roman" w:cs="Times New Roman"/>
                <w:color w:val="000000"/>
                <w:sz w:val="20"/>
                <w:szCs w:val="20"/>
                <w:lang w:val="en-GB" w:eastAsia="nl-NL" w:bidi="ne-NP"/>
              </w:rPr>
              <w:t xml:space="preserve">03 </w:t>
            </w:r>
            <w:r w:rsidRPr="00E65648">
              <w:rPr>
                <w:rFonts w:ascii="Times New Roman" w:eastAsia="Times New Roman" w:hAnsi="Times New Roman" w:cs="Times New Roman"/>
                <w:color w:val="000000"/>
                <w:sz w:val="20"/>
                <w:szCs w:val="20"/>
                <w:lang w:val="en-GB" w:eastAsia="nl-NL" w:bidi="ne-NP"/>
              </w:rPr>
              <w:t>(.0</w:t>
            </w:r>
            <w:r>
              <w:rPr>
                <w:rFonts w:ascii="Times New Roman" w:eastAsia="Times New Roman" w:hAnsi="Times New Roman" w:cs="Times New Roman"/>
                <w:color w:val="000000"/>
                <w:sz w:val="20"/>
                <w:szCs w:val="20"/>
                <w:lang w:val="en-GB" w:eastAsia="nl-NL" w:bidi="ne-NP"/>
              </w:rPr>
              <w:t>4</w:t>
            </w:r>
            <w:r w:rsidRPr="00E65648">
              <w:rPr>
                <w:rFonts w:ascii="Times New Roman" w:eastAsia="Times New Roman" w:hAnsi="Times New Roman" w:cs="Times New Roman"/>
                <w:color w:val="000000"/>
                <w:sz w:val="20"/>
                <w:szCs w:val="20"/>
                <w:lang w:val="en-GB" w:eastAsia="nl-NL" w:bidi="ne-NP"/>
              </w:rPr>
              <w:t>)</w:t>
            </w:r>
          </w:p>
        </w:tc>
        <w:tc>
          <w:tcPr>
            <w:tcW w:w="1894" w:type="dxa"/>
            <w:gridSpan w:val="2"/>
            <w:tcBorders>
              <w:top w:val="nil"/>
              <w:left w:val="nil"/>
              <w:bottom w:val="nil"/>
              <w:right w:val="nil"/>
            </w:tcBorders>
            <w:shd w:val="clear" w:color="auto" w:fill="auto"/>
            <w:noWrap/>
            <w:vAlign w:val="bottom"/>
            <w:hideMark/>
          </w:tcPr>
          <w:p w14:paraId="7F979339" w14:textId="0A678AEA" w:rsidR="00E65648" w:rsidRPr="00E65648" w:rsidRDefault="00E65648" w:rsidP="00E65648">
            <w:pPr>
              <w:spacing w:after="0" w:line="240" w:lineRule="auto"/>
              <w:jc w:val="center"/>
              <w:rPr>
                <w:rFonts w:ascii="Times New Roman" w:eastAsia="Times New Roman" w:hAnsi="Times New Roman" w:cs="Times New Roman"/>
                <w:color w:val="000000"/>
                <w:sz w:val="20"/>
                <w:szCs w:val="20"/>
                <w:lang w:val="en-GB" w:eastAsia="nl-NL" w:bidi="ne-NP"/>
              </w:rPr>
            </w:pPr>
            <w:r w:rsidRPr="00E65648">
              <w:rPr>
                <w:rFonts w:ascii="Times New Roman" w:eastAsia="Times New Roman" w:hAnsi="Times New Roman" w:cs="Times New Roman"/>
                <w:color w:val="000000"/>
                <w:sz w:val="20"/>
                <w:szCs w:val="20"/>
                <w:lang w:val="en-GB" w:eastAsia="nl-NL" w:bidi="ne-NP"/>
              </w:rPr>
              <w:t>.</w:t>
            </w:r>
            <w:r>
              <w:rPr>
                <w:rFonts w:ascii="Times New Roman" w:eastAsia="Times New Roman" w:hAnsi="Times New Roman" w:cs="Times New Roman"/>
                <w:color w:val="000000"/>
                <w:sz w:val="20"/>
                <w:szCs w:val="20"/>
                <w:lang w:val="en-GB" w:eastAsia="nl-NL" w:bidi="ne-NP"/>
              </w:rPr>
              <w:t>540</w:t>
            </w:r>
          </w:p>
        </w:tc>
        <w:tc>
          <w:tcPr>
            <w:tcW w:w="1508" w:type="dxa"/>
            <w:vMerge/>
            <w:tcBorders>
              <w:top w:val="nil"/>
              <w:left w:val="nil"/>
              <w:bottom w:val="single" w:sz="4" w:space="0" w:color="000000"/>
              <w:right w:val="nil"/>
            </w:tcBorders>
            <w:vAlign w:val="center"/>
            <w:hideMark/>
          </w:tcPr>
          <w:p w14:paraId="74F7F7C0" w14:textId="77777777" w:rsidR="00E65648" w:rsidRPr="00E65648" w:rsidRDefault="00E65648" w:rsidP="00E65648">
            <w:pPr>
              <w:spacing w:after="0" w:line="240" w:lineRule="auto"/>
              <w:rPr>
                <w:rFonts w:ascii="Times New Roman" w:eastAsia="Times New Roman" w:hAnsi="Times New Roman" w:cs="Times New Roman"/>
                <w:color w:val="000000"/>
                <w:sz w:val="20"/>
                <w:szCs w:val="20"/>
                <w:lang w:val="en-GB" w:eastAsia="nl-NL" w:bidi="ne-NP"/>
              </w:rPr>
            </w:pPr>
          </w:p>
        </w:tc>
      </w:tr>
      <w:tr w:rsidR="00E65648" w:rsidRPr="00E65648" w14:paraId="35FD9E53" w14:textId="77777777" w:rsidTr="00E65648">
        <w:trPr>
          <w:trHeight w:val="300"/>
        </w:trPr>
        <w:tc>
          <w:tcPr>
            <w:tcW w:w="2552" w:type="dxa"/>
            <w:tcBorders>
              <w:top w:val="nil"/>
              <w:left w:val="nil"/>
              <w:bottom w:val="single" w:sz="12" w:space="0" w:color="auto"/>
              <w:right w:val="nil"/>
            </w:tcBorders>
            <w:shd w:val="clear" w:color="auto" w:fill="auto"/>
            <w:noWrap/>
            <w:vAlign w:val="bottom"/>
            <w:hideMark/>
          </w:tcPr>
          <w:p w14:paraId="5D68A53B" w14:textId="755C93FB" w:rsidR="00E65648" w:rsidRPr="00E65648" w:rsidRDefault="00E65648" w:rsidP="00E65648">
            <w:pPr>
              <w:spacing w:after="0" w:line="240" w:lineRule="auto"/>
              <w:rPr>
                <w:rFonts w:ascii="Times New Roman" w:eastAsia="Times New Roman" w:hAnsi="Times New Roman" w:cs="Times New Roman"/>
                <w:color w:val="000000"/>
                <w:sz w:val="20"/>
                <w:szCs w:val="20"/>
                <w:lang w:val="en-GB" w:eastAsia="nl-NL" w:bidi="ne-NP"/>
              </w:rPr>
            </w:pPr>
            <w:r w:rsidRPr="00E65648">
              <w:rPr>
                <w:rFonts w:ascii="Times New Roman" w:eastAsia="Times New Roman" w:hAnsi="Times New Roman" w:cs="Times New Roman"/>
                <w:color w:val="000000"/>
                <w:sz w:val="20"/>
                <w:szCs w:val="20"/>
                <w:lang w:val="en-GB" w:eastAsia="nl-NL" w:bidi="ne-NP"/>
              </w:rPr>
              <w:t>Educational attainment</w:t>
            </w:r>
            <w:r>
              <w:rPr>
                <w:rFonts w:ascii="Times New Roman" w:eastAsia="Times New Roman" w:hAnsi="Times New Roman" w:cs="Times New Roman"/>
                <w:color w:val="000000"/>
                <w:sz w:val="20"/>
                <w:szCs w:val="20"/>
                <w:lang w:val="en-GB" w:eastAsia="nl-NL" w:bidi="ne-NP"/>
              </w:rPr>
              <w:t xml:space="preserve"> (during the pandemic)</w:t>
            </w:r>
          </w:p>
        </w:tc>
        <w:tc>
          <w:tcPr>
            <w:tcW w:w="1701" w:type="dxa"/>
            <w:gridSpan w:val="2"/>
            <w:tcBorders>
              <w:top w:val="nil"/>
              <w:left w:val="nil"/>
              <w:bottom w:val="single" w:sz="12" w:space="0" w:color="auto"/>
              <w:right w:val="nil"/>
            </w:tcBorders>
            <w:shd w:val="clear" w:color="auto" w:fill="auto"/>
            <w:noWrap/>
            <w:vAlign w:val="bottom"/>
            <w:hideMark/>
          </w:tcPr>
          <w:p w14:paraId="1297B6BB" w14:textId="3870016E" w:rsidR="00E65648" w:rsidRPr="00E65648" w:rsidRDefault="00E65648" w:rsidP="00E65648">
            <w:pPr>
              <w:spacing w:after="0" w:line="240" w:lineRule="auto"/>
              <w:jc w:val="center"/>
              <w:rPr>
                <w:rFonts w:ascii="Times New Roman" w:eastAsia="Times New Roman" w:hAnsi="Times New Roman" w:cs="Times New Roman"/>
                <w:color w:val="000000"/>
                <w:sz w:val="20"/>
                <w:szCs w:val="20"/>
                <w:lang w:val="en-GB" w:eastAsia="nl-NL" w:bidi="ne-NP"/>
              </w:rPr>
            </w:pPr>
            <w:r w:rsidRPr="00E65648">
              <w:rPr>
                <w:rFonts w:ascii="Times New Roman" w:eastAsia="Times New Roman" w:hAnsi="Times New Roman" w:cs="Times New Roman"/>
                <w:color w:val="000000"/>
                <w:sz w:val="20"/>
                <w:szCs w:val="20"/>
                <w:lang w:val="en-GB" w:eastAsia="nl-NL" w:bidi="ne-NP"/>
              </w:rPr>
              <w:t>-.02 (.0</w:t>
            </w:r>
            <w:r>
              <w:rPr>
                <w:rFonts w:ascii="Times New Roman" w:eastAsia="Times New Roman" w:hAnsi="Times New Roman" w:cs="Times New Roman"/>
                <w:color w:val="000000"/>
                <w:sz w:val="20"/>
                <w:szCs w:val="20"/>
                <w:lang w:val="en-GB" w:eastAsia="nl-NL" w:bidi="ne-NP"/>
              </w:rPr>
              <w:t>2</w:t>
            </w:r>
            <w:r w:rsidRPr="00E65648">
              <w:rPr>
                <w:rFonts w:ascii="Times New Roman" w:eastAsia="Times New Roman" w:hAnsi="Times New Roman" w:cs="Times New Roman"/>
                <w:color w:val="000000"/>
                <w:sz w:val="20"/>
                <w:szCs w:val="20"/>
                <w:lang w:val="en-GB" w:eastAsia="nl-NL" w:bidi="ne-NP"/>
              </w:rPr>
              <w:t>)</w:t>
            </w:r>
          </w:p>
        </w:tc>
        <w:tc>
          <w:tcPr>
            <w:tcW w:w="1894" w:type="dxa"/>
            <w:gridSpan w:val="2"/>
            <w:tcBorders>
              <w:top w:val="nil"/>
              <w:left w:val="nil"/>
              <w:bottom w:val="single" w:sz="12" w:space="0" w:color="auto"/>
              <w:right w:val="nil"/>
            </w:tcBorders>
            <w:shd w:val="clear" w:color="auto" w:fill="auto"/>
            <w:noWrap/>
            <w:vAlign w:val="bottom"/>
            <w:hideMark/>
          </w:tcPr>
          <w:p w14:paraId="6149E5CB" w14:textId="3B6A450F" w:rsidR="00E65648" w:rsidRPr="00E65648" w:rsidRDefault="00E65648" w:rsidP="00E65648">
            <w:pPr>
              <w:spacing w:after="0" w:line="240" w:lineRule="auto"/>
              <w:jc w:val="center"/>
              <w:rPr>
                <w:rFonts w:ascii="Times New Roman" w:eastAsia="Times New Roman" w:hAnsi="Times New Roman" w:cs="Times New Roman"/>
                <w:color w:val="000000"/>
                <w:sz w:val="20"/>
                <w:szCs w:val="20"/>
                <w:lang w:val="en-GB" w:eastAsia="nl-NL" w:bidi="ne-NP"/>
              </w:rPr>
            </w:pPr>
            <w:r w:rsidRPr="00E65648">
              <w:rPr>
                <w:rFonts w:ascii="Times New Roman" w:eastAsia="Times New Roman" w:hAnsi="Times New Roman" w:cs="Times New Roman"/>
                <w:color w:val="000000"/>
                <w:sz w:val="20"/>
                <w:szCs w:val="20"/>
                <w:lang w:val="en-GB" w:eastAsia="nl-NL" w:bidi="ne-NP"/>
              </w:rPr>
              <w:t>.</w:t>
            </w:r>
            <w:r>
              <w:rPr>
                <w:rFonts w:ascii="Times New Roman" w:eastAsia="Times New Roman" w:hAnsi="Times New Roman" w:cs="Times New Roman"/>
                <w:color w:val="000000"/>
                <w:sz w:val="20"/>
                <w:szCs w:val="20"/>
                <w:lang w:val="en-GB" w:eastAsia="nl-NL" w:bidi="ne-NP"/>
              </w:rPr>
              <w:t>265</w:t>
            </w:r>
          </w:p>
        </w:tc>
        <w:tc>
          <w:tcPr>
            <w:tcW w:w="1508" w:type="dxa"/>
            <w:vMerge/>
            <w:tcBorders>
              <w:top w:val="nil"/>
              <w:left w:val="nil"/>
              <w:bottom w:val="single" w:sz="12" w:space="0" w:color="auto"/>
              <w:right w:val="nil"/>
            </w:tcBorders>
            <w:vAlign w:val="center"/>
            <w:hideMark/>
          </w:tcPr>
          <w:p w14:paraId="6B018FFC" w14:textId="77777777" w:rsidR="00E65648" w:rsidRPr="00E65648" w:rsidRDefault="00E65648" w:rsidP="00E65648">
            <w:pPr>
              <w:spacing w:after="0" w:line="240" w:lineRule="auto"/>
              <w:rPr>
                <w:rFonts w:ascii="Times New Roman" w:eastAsia="Times New Roman" w:hAnsi="Times New Roman" w:cs="Times New Roman"/>
                <w:color w:val="000000"/>
                <w:sz w:val="20"/>
                <w:szCs w:val="20"/>
                <w:lang w:val="en-GB" w:eastAsia="nl-NL" w:bidi="ne-NP"/>
              </w:rPr>
            </w:pPr>
          </w:p>
        </w:tc>
      </w:tr>
      <w:tr w:rsidR="00E65648" w:rsidRPr="00E65648" w14:paraId="358CD124" w14:textId="77777777" w:rsidTr="00E65648">
        <w:trPr>
          <w:trHeight w:val="300"/>
        </w:trPr>
        <w:tc>
          <w:tcPr>
            <w:tcW w:w="7655" w:type="dxa"/>
            <w:gridSpan w:val="6"/>
            <w:tcBorders>
              <w:top w:val="single" w:sz="4" w:space="0" w:color="auto"/>
              <w:left w:val="nil"/>
              <w:bottom w:val="nil"/>
              <w:right w:val="nil"/>
            </w:tcBorders>
            <w:shd w:val="clear" w:color="auto" w:fill="auto"/>
            <w:noWrap/>
            <w:vAlign w:val="bottom"/>
            <w:hideMark/>
          </w:tcPr>
          <w:p w14:paraId="5DAF9FA8" w14:textId="77777777" w:rsidR="00E65648" w:rsidRPr="00E65648" w:rsidRDefault="00E65648" w:rsidP="00E65648">
            <w:pPr>
              <w:autoSpaceDE w:val="0"/>
              <w:autoSpaceDN w:val="0"/>
              <w:adjustRightInd w:val="0"/>
              <w:spacing w:after="0" w:line="240" w:lineRule="auto"/>
              <w:jc w:val="both"/>
              <w:rPr>
                <w:rFonts w:ascii="Times New Roman" w:eastAsia="Times New Roman" w:hAnsi="Times New Roman" w:cs="Times New Roman"/>
                <w:color w:val="000000"/>
                <w:sz w:val="20"/>
                <w:szCs w:val="20"/>
                <w:lang w:val="en-GB" w:eastAsia="nl-NL" w:bidi="ne-NP"/>
              </w:rPr>
            </w:pPr>
            <w:r w:rsidRPr="00E65648">
              <w:rPr>
                <w:rFonts w:ascii="Times New Roman" w:eastAsia="Times New Roman" w:hAnsi="Times New Roman" w:cs="Times New Roman"/>
                <w:i/>
                <w:iCs/>
                <w:color w:val="000000"/>
                <w:sz w:val="20"/>
                <w:szCs w:val="20"/>
                <w:lang w:val="en-GB" w:eastAsia="nl-NL" w:bidi="ne-NP"/>
              </w:rPr>
              <w:t>Note.</w:t>
            </w:r>
            <w:r w:rsidRPr="00E65648">
              <w:rPr>
                <w:rFonts w:ascii="Times New Roman" w:eastAsia="Times New Roman" w:hAnsi="Times New Roman" w:cs="Times New Roman"/>
                <w:color w:val="000000"/>
                <w:sz w:val="20"/>
                <w:szCs w:val="20"/>
                <w:lang w:val="en-GB" w:eastAsia="nl-NL" w:bidi="ne-NP"/>
              </w:rPr>
              <w:t xml:space="preserve"> Values in </w:t>
            </w:r>
            <w:r w:rsidRPr="00E65648">
              <w:rPr>
                <w:rFonts w:ascii="Times New Roman" w:eastAsia="Times New Roman" w:hAnsi="Times New Roman" w:cs="Times New Roman"/>
                <w:b/>
                <w:bCs/>
                <w:color w:val="000000"/>
                <w:sz w:val="20"/>
                <w:szCs w:val="20"/>
                <w:lang w:val="en-GB" w:eastAsia="nl-NL" w:bidi="ne-NP"/>
              </w:rPr>
              <w:t>bold</w:t>
            </w:r>
            <w:r w:rsidRPr="00E65648">
              <w:rPr>
                <w:rFonts w:ascii="Times New Roman" w:eastAsia="Times New Roman" w:hAnsi="Times New Roman" w:cs="Times New Roman"/>
                <w:color w:val="000000"/>
                <w:sz w:val="20"/>
                <w:szCs w:val="20"/>
                <w:lang w:val="en-GB" w:eastAsia="nl-NL" w:bidi="ne-NP"/>
              </w:rPr>
              <w:t xml:space="preserve"> are significant. </w:t>
            </w:r>
          </w:p>
        </w:tc>
      </w:tr>
    </w:tbl>
    <w:p w14:paraId="1FCFE90E" w14:textId="10E3F9B0" w:rsidR="00E65648" w:rsidRDefault="00E65648" w:rsidP="00526C28">
      <w:pPr>
        <w:spacing w:line="480" w:lineRule="auto"/>
        <w:ind w:firstLine="708"/>
        <w:jc w:val="both"/>
        <w:rPr>
          <w:rFonts w:ascii="Times New Roman" w:hAnsi="Times New Roman" w:cs="Times New Roman"/>
          <w:sz w:val="20"/>
          <w:szCs w:val="20"/>
          <w:lang w:val="en-GB"/>
        </w:rPr>
      </w:pPr>
    </w:p>
    <w:p w14:paraId="14EE8019" w14:textId="1CB50A8A" w:rsidR="00D80EB8" w:rsidRDefault="00D80EB8" w:rsidP="00526C28">
      <w:pPr>
        <w:spacing w:line="480" w:lineRule="auto"/>
        <w:ind w:firstLine="708"/>
        <w:jc w:val="both"/>
        <w:rPr>
          <w:rFonts w:ascii="Times New Roman" w:hAnsi="Times New Roman" w:cs="Times New Roman"/>
          <w:sz w:val="20"/>
          <w:szCs w:val="20"/>
          <w:lang w:val="en-GB"/>
        </w:rPr>
      </w:pPr>
    </w:p>
    <w:p w14:paraId="6862003C" w14:textId="12AFEF2B" w:rsidR="00D80EB8" w:rsidRDefault="00D80EB8" w:rsidP="00526C28">
      <w:pPr>
        <w:spacing w:line="480" w:lineRule="auto"/>
        <w:ind w:firstLine="708"/>
        <w:jc w:val="both"/>
        <w:rPr>
          <w:rFonts w:ascii="Times New Roman" w:hAnsi="Times New Roman" w:cs="Times New Roman"/>
          <w:sz w:val="20"/>
          <w:szCs w:val="20"/>
          <w:lang w:val="en-GB"/>
        </w:rPr>
      </w:pPr>
    </w:p>
    <w:p w14:paraId="0276F148" w14:textId="28131486" w:rsidR="00D80EB8" w:rsidRDefault="00D80EB8" w:rsidP="00526C28">
      <w:pPr>
        <w:spacing w:line="480" w:lineRule="auto"/>
        <w:ind w:firstLine="708"/>
        <w:jc w:val="both"/>
        <w:rPr>
          <w:rFonts w:ascii="Times New Roman" w:hAnsi="Times New Roman" w:cs="Times New Roman"/>
          <w:sz w:val="20"/>
          <w:szCs w:val="20"/>
          <w:lang w:val="en-GB"/>
        </w:rPr>
      </w:pPr>
    </w:p>
    <w:p w14:paraId="7F072974" w14:textId="50CE30A4" w:rsidR="00D80EB8" w:rsidRDefault="00D80EB8" w:rsidP="00526C28">
      <w:pPr>
        <w:spacing w:line="480" w:lineRule="auto"/>
        <w:ind w:firstLine="708"/>
        <w:jc w:val="both"/>
        <w:rPr>
          <w:rFonts w:ascii="Times New Roman" w:hAnsi="Times New Roman" w:cs="Times New Roman"/>
          <w:sz w:val="20"/>
          <w:szCs w:val="20"/>
          <w:lang w:val="en-GB"/>
        </w:rPr>
      </w:pPr>
    </w:p>
    <w:p w14:paraId="112CD3D4" w14:textId="7FC73418" w:rsidR="00D80EB8" w:rsidRDefault="00D80EB8" w:rsidP="00526C28">
      <w:pPr>
        <w:spacing w:line="480" w:lineRule="auto"/>
        <w:ind w:firstLine="708"/>
        <w:jc w:val="both"/>
        <w:rPr>
          <w:rFonts w:ascii="Times New Roman" w:hAnsi="Times New Roman" w:cs="Times New Roman"/>
          <w:sz w:val="20"/>
          <w:szCs w:val="20"/>
          <w:lang w:val="en-GB"/>
        </w:rPr>
      </w:pPr>
    </w:p>
    <w:p w14:paraId="182672E2" w14:textId="16120CD0" w:rsidR="00D80EB8" w:rsidRDefault="00D80EB8" w:rsidP="00526C28">
      <w:pPr>
        <w:spacing w:line="480" w:lineRule="auto"/>
        <w:ind w:firstLine="708"/>
        <w:jc w:val="both"/>
        <w:rPr>
          <w:rFonts w:ascii="Times New Roman" w:hAnsi="Times New Roman" w:cs="Times New Roman"/>
          <w:sz w:val="20"/>
          <w:szCs w:val="20"/>
          <w:lang w:val="en-GB"/>
        </w:rPr>
      </w:pPr>
    </w:p>
    <w:p w14:paraId="4D8250B1" w14:textId="1B5E7AEF" w:rsidR="00D80EB8" w:rsidRDefault="00D80EB8" w:rsidP="00526C28">
      <w:pPr>
        <w:spacing w:line="480" w:lineRule="auto"/>
        <w:ind w:firstLine="708"/>
        <w:jc w:val="both"/>
        <w:rPr>
          <w:rFonts w:ascii="Times New Roman" w:hAnsi="Times New Roman" w:cs="Times New Roman"/>
          <w:sz w:val="20"/>
          <w:szCs w:val="20"/>
          <w:lang w:val="en-GB"/>
        </w:rPr>
      </w:pPr>
    </w:p>
    <w:p w14:paraId="129ED421" w14:textId="723CBD64" w:rsidR="00D80EB8" w:rsidRDefault="00D80EB8" w:rsidP="00526C28">
      <w:pPr>
        <w:spacing w:line="480" w:lineRule="auto"/>
        <w:ind w:firstLine="708"/>
        <w:jc w:val="both"/>
        <w:rPr>
          <w:rFonts w:ascii="Times New Roman" w:hAnsi="Times New Roman" w:cs="Times New Roman"/>
          <w:sz w:val="20"/>
          <w:szCs w:val="20"/>
          <w:lang w:val="en-GB"/>
        </w:rPr>
      </w:pPr>
    </w:p>
    <w:p w14:paraId="1F3AA981" w14:textId="28857D3A" w:rsidR="00D80EB8" w:rsidRDefault="00D80EB8" w:rsidP="00526C28">
      <w:pPr>
        <w:spacing w:line="480" w:lineRule="auto"/>
        <w:ind w:firstLine="708"/>
        <w:jc w:val="both"/>
        <w:rPr>
          <w:rFonts w:ascii="Times New Roman" w:hAnsi="Times New Roman" w:cs="Times New Roman"/>
          <w:sz w:val="20"/>
          <w:szCs w:val="20"/>
          <w:lang w:val="en-GB"/>
        </w:rPr>
      </w:pPr>
    </w:p>
    <w:p w14:paraId="4C1BC149" w14:textId="5FD2EDF3" w:rsidR="00D80EB8" w:rsidRDefault="00D80EB8" w:rsidP="00526C28">
      <w:pPr>
        <w:spacing w:line="480" w:lineRule="auto"/>
        <w:ind w:firstLine="708"/>
        <w:jc w:val="both"/>
        <w:rPr>
          <w:rFonts w:ascii="Times New Roman" w:hAnsi="Times New Roman" w:cs="Times New Roman"/>
          <w:sz w:val="20"/>
          <w:szCs w:val="20"/>
          <w:lang w:val="en-GB"/>
        </w:rPr>
      </w:pPr>
    </w:p>
    <w:p w14:paraId="39FF7AB7" w14:textId="4DE19B3C" w:rsidR="00D80EB8" w:rsidRPr="00D80EB8" w:rsidRDefault="00D80EB8" w:rsidP="00D80EB8">
      <w:pPr>
        <w:spacing w:line="480" w:lineRule="auto"/>
        <w:jc w:val="both"/>
        <w:rPr>
          <w:rFonts w:ascii="Times New Roman" w:hAnsi="Times New Roman" w:cs="Times New Roman"/>
          <w:b/>
          <w:bCs/>
          <w:sz w:val="20"/>
          <w:szCs w:val="20"/>
          <w:lang w:val="en-GB"/>
        </w:rPr>
      </w:pPr>
      <w:r>
        <w:rPr>
          <w:rFonts w:ascii="Times New Roman" w:hAnsi="Times New Roman" w:cs="Times New Roman"/>
          <w:b/>
          <w:bCs/>
          <w:sz w:val="20"/>
          <w:szCs w:val="20"/>
          <w:lang w:val="en-GB"/>
        </w:rPr>
        <w:t>References</w:t>
      </w:r>
    </w:p>
    <w:p w14:paraId="12DE66A9" w14:textId="1BCCFA22" w:rsidR="00D80EB8" w:rsidRPr="00D80EB8" w:rsidRDefault="00D80EB8" w:rsidP="00D80EB8">
      <w:pPr>
        <w:widowControl w:val="0"/>
        <w:autoSpaceDE w:val="0"/>
        <w:autoSpaceDN w:val="0"/>
        <w:adjustRightInd w:val="0"/>
        <w:spacing w:line="480" w:lineRule="auto"/>
        <w:ind w:left="480" w:hanging="480"/>
        <w:rPr>
          <w:rFonts w:ascii="Times New Roman" w:hAnsi="Times New Roman" w:cs="Times New Roman"/>
          <w:noProof/>
          <w:sz w:val="20"/>
          <w:szCs w:val="24"/>
        </w:rPr>
      </w:pPr>
      <w:r>
        <w:rPr>
          <w:rFonts w:ascii="Times New Roman" w:hAnsi="Times New Roman" w:cs="Times New Roman"/>
          <w:sz w:val="20"/>
          <w:szCs w:val="20"/>
          <w:lang w:val="en-GB"/>
        </w:rPr>
        <w:fldChar w:fldCharType="begin" w:fldLock="1"/>
      </w:r>
      <w:r>
        <w:rPr>
          <w:rFonts w:ascii="Times New Roman" w:hAnsi="Times New Roman" w:cs="Times New Roman"/>
          <w:sz w:val="20"/>
          <w:szCs w:val="20"/>
          <w:lang w:val="en-GB"/>
        </w:rPr>
        <w:instrText xml:space="preserve">ADDIN Mendeley Bibliography CSL_BIBLIOGRAPHY </w:instrText>
      </w:r>
      <w:r>
        <w:rPr>
          <w:rFonts w:ascii="Times New Roman" w:hAnsi="Times New Roman" w:cs="Times New Roman"/>
          <w:sz w:val="20"/>
          <w:szCs w:val="20"/>
          <w:lang w:val="en-GB"/>
        </w:rPr>
        <w:fldChar w:fldCharType="separate"/>
      </w:r>
      <w:r w:rsidRPr="00D80EB8">
        <w:rPr>
          <w:rFonts w:ascii="Times New Roman" w:hAnsi="Times New Roman" w:cs="Times New Roman"/>
          <w:noProof/>
          <w:sz w:val="20"/>
          <w:szCs w:val="24"/>
        </w:rPr>
        <w:t xml:space="preserve">Hardin, J. W. (2005). Generalized Estimating Equations (GEE). In </w:t>
      </w:r>
      <w:r w:rsidRPr="00D80EB8">
        <w:rPr>
          <w:rFonts w:ascii="Times New Roman" w:hAnsi="Times New Roman" w:cs="Times New Roman"/>
          <w:i/>
          <w:iCs/>
          <w:noProof/>
          <w:sz w:val="20"/>
          <w:szCs w:val="24"/>
        </w:rPr>
        <w:t>Encyclopedia of Statistics in Behavioral Science</w:t>
      </w:r>
      <w:r w:rsidRPr="00D80EB8">
        <w:rPr>
          <w:rFonts w:ascii="Times New Roman" w:hAnsi="Times New Roman" w:cs="Times New Roman"/>
          <w:noProof/>
          <w:sz w:val="20"/>
          <w:szCs w:val="24"/>
        </w:rPr>
        <w:t>. Chichester, UK: John Wiley &amp; Sons, Ltd. https://doi.org/10.1002/0470013192.bsa250</w:t>
      </w:r>
    </w:p>
    <w:p w14:paraId="7915111F" w14:textId="77777777" w:rsidR="00D80EB8" w:rsidRPr="00D80EB8" w:rsidRDefault="00D80EB8" w:rsidP="00D80EB8">
      <w:pPr>
        <w:widowControl w:val="0"/>
        <w:autoSpaceDE w:val="0"/>
        <w:autoSpaceDN w:val="0"/>
        <w:adjustRightInd w:val="0"/>
        <w:spacing w:line="480" w:lineRule="auto"/>
        <w:ind w:left="480" w:hanging="480"/>
        <w:rPr>
          <w:rFonts w:ascii="Times New Roman" w:hAnsi="Times New Roman" w:cs="Times New Roman"/>
          <w:noProof/>
          <w:sz w:val="20"/>
          <w:szCs w:val="24"/>
        </w:rPr>
      </w:pPr>
      <w:r w:rsidRPr="00D80EB8">
        <w:rPr>
          <w:rFonts w:ascii="Times New Roman" w:hAnsi="Times New Roman" w:cs="Times New Roman"/>
          <w:noProof/>
          <w:sz w:val="20"/>
          <w:szCs w:val="24"/>
        </w:rPr>
        <w:lastRenderedPageBreak/>
        <w:t xml:space="preserve">Minicə, C. C., Dolan, C. V., Kampert, M. M. D., Boomsma, D. I., &amp; Vink, J. M. (2015). Sandwich corrected standard errors in family-based genome-wide association studies. </w:t>
      </w:r>
      <w:r w:rsidRPr="00D80EB8">
        <w:rPr>
          <w:rFonts w:ascii="Times New Roman" w:hAnsi="Times New Roman" w:cs="Times New Roman"/>
          <w:i/>
          <w:iCs/>
          <w:noProof/>
          <w:sz w:val="20"/>
          <w:szCs w:val="24"/>
        </w:rPr>
        <w:t>European Journal of Human Genetics</w:t>
      </w:r>
      <w:r w:rsidRPr="00D80EB8">
        <w:rPr>
          <w:rFonts w:ascii="Times New Roman" w:hAnsi="Times New Roman" w:cs="Times New Roman"/>
          <w:noProof/>
          <w:sz w:val="20"/>
          <w:szCs w:val="24"/>
        </w:rPr>
        <w:t xml:space="preserve">, </w:t>
      </w:r>
      <w:r w:rsidRPr="00D80EB8">
        <w:rPr>
          <w:rFonts w:ascii="Times New Roman" w:hAnsi="Times New Roman" w:cs="Times New Roman"/>
          <w:i/>
          <w:iCs/>
          <w:noProof/>
          <w:sz w:val="20"/>
          <w:szCs w:val="24"/>
        </w:rPr>
        <w:t>23</w:t>
      </w:r>
      <w:r w:rsidRPr="00D80EB8">
        <w:rPr>
          <w:rFonts w:ascii="Times New Roman" w:hAnsi="Times New Roman" w:cs="Times New Roman"/>
          <w:noProof/>
          <w:sz w:val="20"/>
          <w:szCs w:val="24"/>
        </w:rPr>
        <w:t>(3), 388–394. https://doi.org/10.1038/ejhg.2014.94</w:t>
      </w:r>
    </w:p>
    <w:p w14:paraId="383EC727" w14:textId="77777777" w:rsidR="00D80EB8" w:rsidRPr="00D80EB8" w:rsidRDefault="00D80EB8" w:rsidP="00D80EB8">
      <w:pPr>
        <w:widowControl w:val="0"/>
        <w:autoSpaceDE w:val="0"/>
        <w:autoSpaceDN w:val="0"/>
        <w:adjustRightInd w:val="0"/>
        <w:spacing w:line="480" w:lineRule="auto"/>
        <w:ind w:left="480" w:hanging="480"/>
        <w:rPr>
          <w:rFonts w:ascii="Times New Roman" w:hAnsi="Times New Roman" w:cs="Times New Roman"/>
          <w:noProof/>
          <w:sz w:val="20"/>
        </w:rPr>
      </w:pPr>
      <w:r w:rsidRPr="00D80EB8">
        <w:rPr>
          <w:rFonts w:ascii="Times New Roman" w:hAnsi="Times New Roman" w:cs="Times New Roman"/>
          <w:noProof/>
          <w:sz w:val="20"/>
          <w:szCs w:val="24"/>
        </w:rPr>
        <w:t xml:space="preserve">Williamson, E. J., Walker, A. J., Bhaskaran, K., Bacon, S., Bates, C., Morton, C. E., et al. (2020). Factors associated with COVID-19-related death using OpenSAFELY. </w:t>
      </w:r>
      <w:r w:rsidRPr="00D80EB8">
        <w:rPr>
          <w:rFonts w:ascii="Times New Roman" w:hAnsi="Times New Roman" w:cs="Times New Roman"/>
          <w:i/>
          <w:iCs/>
          <w:noProof/>
          <w:sz w:val="20"/>
          <w:szCs w:val="24"/>
        </w:rPr>
        <w:t>Nature</w:t>
      </w:r>
      <w:r w:rsidRPr="00D80EB8">
        <w:rPr>
          <w:rFonts w:ascii="Times New Roman" w:hAnsi="Times New Roman" w:cs="Times New Roman"/>
          <w:noProof/>
          <w:sz w:val="20"/>
          <w:szCs w:val="24"/>
        </w:rPr>
        <w:t xml:space="preserve">, </w:t>
      </w:r>
      <w:r w:rsidRPr="00D80EB8">
        <w:rPr>
          <w:rFonts w:ascii="Times New Roman" w:hAnsi="Times New Roman" w:cs="Times New Roman"/>
          <w:i/>
          <w:iCs/>
          <w:noProof/>
          <w:sz w:val="20"/>
          <w:szCs w:val="24"/>
        </w:rPr>
        <w:t>584</w:t>
      </w:r>
      <w:r w:rsidRPr="00D80EB8">
        <w:rPr>
          <w:rFonts w:ascii="Times New Roman" w:hAnsi="Times New Roman" w:cs="Times New Roman"/>
          <w:noProof/>
          <w:sz w:val="20"/>
          <w:szCs w:val="24"/>
        </w:rPr>
        <w:t>(7821), 430–436. https://doi.org/10.1038/s41586-020-2521-4</w:t>
      </w:r>
    </w:p>
    <w:p w14:paraId="6DD76CC7" w14:textId="1DE6014F" w:rsidR="00526C28" w:rsidRPr="00E65648" w:rsidRDefault="00D80EB8" w:rsidP="00D80EB8">
      <w:pPr>
        <w:spacing w:line="480" w:lineRule="auto"/>
        <w:jc w:val="both"/>
        <w:rPr>
          <w:rFonts w:ascii="Times New Roman" w:hAnsi="Times New Roman" w:cs="Times New Roman"/>
          <w:sz w:val="20"/>
          <w:szCs w:val="20"/>
          <w:lang w:val="en-GB"/>
        </w:rPr>
      </w:pPr>
      <w:r>
        <w:rPr>
          <w:rFonts w:ascii="Times New Roman" w:hAnsi="Times New Roman" w:cs="Times New Roman"/>
          <w:sz w:val="20"/>
          <w:szCs w:val="20"/>
          <w:lang w:val="en-GB"/>
        </w:rPr>
        <w:fldChar w:fldCharType="end"/>
      </w:r>
    </w:p>
    <w:p w14:paraId="6A9644E7" w14:textId="77777777" w:rsidR="00526C28" w:rsidRPr="00E65648" w:rsidRDefault="00526C28" w:rsidP="00C9046D">
      <w:pPr>
        <w:autoSpaceDE w:val="0"/>
        <w:autoSpaceDN w:val="0"/>
        <w:adjustRightInd w:val="0"/>
        <w:spacing w:after="0" w:line="480" w:lineRule="auto"/>
        <w:jc w:val="both"/>
        <w:rPr>
          <w:sz w:val="20"/>
          <w:szCs w:val="20"/>
          <w:lang w:val="en-GB"/>
        </w:rPr>
      </w:pPr>
    </w:p>
    <w:p w14:paraId="364286BA" w14:textId="31374BB0" w:rsidR="007B7F3D" w:rsidRPr="00E65648" w:rsidRDefault="007B7F3D" w:rsidP="00C9046D">
      <w:pPr>
        <w:autoSpaceDE w:val="0"/>
        <w:autoSpaceDN w:val="0"/>
        <w:adjustRightInd w:val="0"/>
        <w:spacing w:after="0" w:line="480" w:lineRule="auto"/>
        <w:jc w:val="both"/>
        <w:rPr>
          <w:rFonts w:ascii="Times New Roman" w:hAnsi="Times New Roman" w:cs="Times New Roman"/>
          <w:sz w:val="20"/>
          <w:szCs w:val="20"/>
          <w:lang w:val="en-GB" w:bidi="ne-NP"/>
        </w:rPr>
      </w:pPr>
    </w:p>
    <w:p w14:paraId="315F68AB" w14:textId="77777777" w:rsidR="007B7F3D" w:rsidRPr="00E65648" w:rsidRDefault="007B7F3D" w:rsidP="00C9046D">
      <w:pPr>
        <w:autoSpaceDE w:val="0"/>
        <w:autoSpaceDN w:val="0"/>
        <w:adjustRightInd w:val="0"/>
        <w:spacing w:after="0" w:line="480" w:lineRule="auto"/>
        <w:jc w:val="both"/>
        <w:rPr>
          <w:rFonts w:ascii="Times New Roman" w:hAnsi="Times New Roman" w:cs="Times New Roman"/>
          <w:sz w:val="20"/>
          <w:szCs w:val="20"/>
          <w:lang w:val="en-GB" w:bidi="ne-NP"/>
        </w:rPr>
      </w:pPr>
    </w:p>
    <w:p w14:paraId="68276402" w14:textId="77777777" w:rsidR="00C9046D" w:rsidRPr="00E65648" w:rsidRDefault="00C9046D" w:rsidP="00C9046D">
      <w:pPr>
        <w:autoSpaceDE w:val="0"/>
        <w:autoSpaceDN w:val="0"/>
        <w:adjustRightInd w:val="0"/>
        <w:spacing w:after="0" w:line="480" w:lineRule="auto"/>
        <w:jc w:val="both"/>
        <w:rPr>
          <w:rFonts w:ascii="Times New Roman" w:hAnsi="Times New Roman" w:cs="Times New Roman"/>
          <w:sz w:val="20"/>
          <w:szCs w:val="20"/>
          <w:lang w:val="en-GB" w:bidi="ne-NP"/>
        </w:rPr>
      </w:pPr>
    </w:p>
    <w:p w14:paraId="3AE95EBF" w14:textId="736399DF" w:rsidR="00C9046D" w:rsidRPr="00E65648" w:rsidRDefault="00C9046D">
      <w:pPr>
        <w:rPr>
          <w:rFonts w:ascii="Times New Roman" w:hAnsi="Times New Roman" w:cs="Times New Roman"/>
          <w:b/>
          <w:bCs/>
          <w:sz w:val="20"/>
          <w:szCs w:val="20"/>
          <w:lang w:val="en-GB"/>
        </w:rPr>
      </w:pPr>
    </w:p>
    <w:p w14:paraId="4F130070" w14:textId="2704AF6B" w:rsidR="00C9046D" w:rsidRPr="00E65648" w:rsidRDefault="00C9046D">
      <w:pPr>
        <w:rPr>
          <w:rFonts w:ascii="Times New Roman" w:hAnsi="Times New Roman" w:cs="Times New Roman"/>
          <w:b/>
          <w:bCs/>
          <w:sz w:val="20"/>
          <w:szCs w:val="20"/>
          <w:lang w:val="en-US"/>
        </w:rPr>
      </w:pPr>
    </w:p>
    <w:p w14:paraId="79CA5078" w14:textId="77777777" w:rsidR="00C9046D" w:rsidRPr="00E65648" w:rsidRDefault="00C9046D">
      <w:pPr>
        <w:rPr>
          <w:rFonts w:ascii="Times New Roman" w:hAnsi="Times New Roman" w:cs="Times New Roman"/>
          <w:b/>
          <w:bCs/>
          <w:sz w:val="20"/>
          <w:szCs w:val="20"/>
          <w:lang w:val="en-US"/>
        </w:rPr>
      </w:pPr>
    </w:p>
    <w:p w14:paraId="4CC35C81" w14:textId="77777777" w:rsidR="00C9046D" w:rsidRPr="00E65648" w:rsidRDefault="00C9046D">
      <w:pPr>
        <w:rPr>
          <w:rFonts w:ascii="Times New Roman" w:hAnsi="Times New Roman" w:cs="Times New Roman"/>
          <w:b/>
          <w:bCs/>
          <w:sz w:val="20"/>
          <w:szCs w:val="20"/>
          <w:lang w:val="en-GB"/>
        </w:rPr>
      </w:pPr>
    </w:p>
    <w:sectPr w:rsidR="00C9046D" w:rsidRPr="00E6564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6"/>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4A36"/>
    <w:rsid w:val="002D5DB0"/>
    <w:rsid w:val="002F612E"/>
    <w:rsid w:val="00526C28"/>
    <w:rsid w:val="007B7F3D"/>
    <w:rsid w:val="00C44A36"/>
    <w:rsid w:val="00C9046D"/>
    <w:rsid w:val="00D80EB8"/>
    <w:rsid w:val="00E6564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CA5F63"/>
  <w15:chartTrackingRefBased/>
  <w15:docId w15:val="{F4B1140E-0C28-41EE-A2A2-9407481233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44A36"/>
    <w:rPr>
      <w:rFonts w:ascii="Calibri" w:eastAsia="Calibri" w:hAnsi="Calibri" w:cs="Mang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67EC4D-70D9-4A22-8F49-8EBE9597EE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82</TotalTime>
  <Pages>3</Pages>
  <Words>2334</Words>
  <Characters>12838</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Weijer, M.P. van de</dc:creator>
  <cp:keywords/>
  <dc:description/>
  <cp:lastModifiedBy>Weijer, M.P. van de</cp:lastModifiedBy>
  <cp:revision>3</cp:revision>
  <dcterms:created xsi:type="dcterms:W3CDTF">2022-03-22T12:24:00Z</dcterms:created>
  <dcterms:modified xsi:type="dcterms:W3CDTF">2022-03-22T13:57:00Z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Document_1">
    <vt:lpwstr>True</vt:lpwstr>
  </property>
  <property fmtid="{D5CDD505-2E9C-101B-9397-08002B2CF9AE}" pid="3" name="Mendeley Unique User Id_1">
    <vt:lpwstr>4e7a9bc4-4135-3c2b-82f4-044540a79f2e</vt:lpwstr>
  </property>
  <property fmtid="{D5CDD505-2E9C-101B-9397-08002B2CF9AE}" pid="4" name="Mendeley Citation Style_1">
    <vt:lpwstr>http://www.zotero.org/styles/journal-of-happiness-studies</vt:lpwstr>
  </property>
</Properties>
</file>