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26B41" w14:textId="7816B3EB" w:rsidR="00BA6459" w:rsidRPr="00147177" w:rsidRDefault="0034543F" w:rsidP="004D6F80">
      <w:pPr>
        <w:spacing w:line="480" w:lineRule="auto"/>
        <w:rPr>
          <w:rFonts w:ascii="Times New Roman" w:hAnsi="Times New Roman" w:cs="Times New Roman"/>
          <w:lang w:val="en-US"/>
        </w:rPr>
      </w:pPr>
      <w:r w:rsidRPr="00147177">
        <w:rPr>
          <w:rFonts w:ascii="Times New Roman" w:hAnsi="Times New Roman" w:cs="Times New Roman"/>
          <w:lang w:val="en-US"/>
        </w:rPr>
        <w:t xml:space="preserve">Caption Supplementary Figure: </w:t>
      </w:r>
    </w:p>
    <w:p w14:paraId="6A40B4A5" w14:textId="5A17FE26" w:rsidR="0034543F" w:rsidRPr="00147177" w:rsidRDefault="0034543F" w:rsidP="004D6F80">
      <w:pPr>
        <w:spacing w:before="240" w:line="480" w:lineRule="auto"/>
        <w:jc w:val="both"/>
        <w:rPr>
          <w:rFonts w:ascii="Times New Roman" w:hAnsi="Times New Roman" w:cs="Times New Roman"/>
          <w:lang w:val="en-GB"/>
        </w:rPr>
      </w:pPr>
      <w:r w:rsidRPr="00147177">
        <w:rPr>
          <w:rFonts w:ascii="Times New Roman" w:hAnsi="Times New Roman" w:cs="Times New Roman"/>
          <w:b/>
          <w:bCs/>
          <w:lang w:val="en-US"/>
        </w:rPr>
        <w:t xml:space="preserve">Supplementary Figure 1. </w:t>
      </w:r>
      <w:r w:rsidRPr="00147177">
        <w:rPr>
          <w:rFonts w:ascii="Times New Roman" w:hAnsi="Times New Roman" w:cs="Times New Roman"/>
          <w:lang w:val="en-GB" w:bidi="ne-NP"/>
        </w:rPr>
        <w:t>Histograms of  (from left to right) pre-pandemic Self-Rated Health (SRH), pandemic SRH, and pandemic SRH difference scores</w:t>
      </w:r>
      <w:r w:rsidRPr="00147177">
        <w:rPr>
          <w:rFonts w:ascii="Times New Roman" w:hAnsi="Times New Roman" w:cs="Times New Roman"/>
          <w:lang w:val="en-GB"/>
        </w:rPr>
        <w:t>.</w:t>
      </w:r>
    </w:p>
    <w:p w14:paraId="1A014039" w14:textId="606FC0F7" w:rsidR="0034543F" w:rsidRPr="00147177" w:rsidRDefault="00147177" w:rsidP="004D6F80">
      <w:pPr>
        <w:spacing w:line="480" w:lineRule="auto"/>
        <w:rPr>
          <w:rFonts w:ascii="Times New Roman" w:hAnsi="Times New Roman" w:cs="Times New Roman"/>
          <w:lang w:val="en-US"/>
        </w:rPr>
      </w:pPr>
      <w:r w:rsidRPr="00147177">
        <w:rPr>
          <w:rFonts w:ascii="Times New Roman" w:hAnsi="Times New Roman" w:cs="Times New Roman"/>
          <w:b/>
          <w:bCs/>
          <w:lang w:val="en-US"/>
        </w:rPr>
        <w:t>Supplementary Analyses</w:t>
      </w:r>
      <w:r>
        <w:rPr>
          <w:rFonts w:ascii="Times New Roman" w:hAnsi="Times New Roman" w:cs="Times New Roman"/>
          <w:b/>
          <w:bCs/>
          <w:lang w:val="en-US"/>
        </w:rPr>
        <w:t xml:space="preserve">. </w:t>
      </w:r>
      <w:r>
        <w:rPr>
          <w:rFonts w:ascii="Times New Roman" w:hAnsi="Times New Roman" w:cs="Times New Roman"/>
          <w:lang w:val="en-US"/>
        </w:rPr>
        <w:t>File containing methods and results of supplementary analyses where we examine the effects of age, gender, education, and chronic illness on pre-pandemic SRH, pandemic SRH, and SRH difference scores.</w:t>
      </w:r>
    </w:p>
    <w:sectPr w:rsidR="0034543F" w:rsidRPr="001471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43F"/>
    <w:rsid w:val="00147177"/>
    <w:rsid w:val="0034543F"/>
    <w:rsid w:val="004D6F80"/>
    <w:rsid w:val="00BA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CEF8F"/>
  <w15:chartTrackingRefBased/>
  <w15:docId w15:val="{E363610E-8E9B-4FD1-85E7-D70CEB2EC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341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Weijer, M.P. van de</dc:creator>
  <cp:keywords/>
  <dc:description/>
  <cp:lastModifiedBy>Weijer, M.P. van de</cp:lastModifiedBy>
  <cp:revision>2</cp:revision>
  <dcterms:created xsi:type="dcterms:W3CDTF">2022-03-28T12:33:00Z</dcterms:created>
  <dcterms:modified xsi:type="dcterms:W3CDTF">2022-03-28T12:33:00Z</dcterms:modified>
</cp:coreProperties>
</file>