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123" w:rsidRPr="00231346" w:rsidRDefault="002C1123" w:rsidP="002C1123">
      <w:pPr>
        <w:spacing w:after="0" w:line="480" w:lineRule="auto"/>
        <w:jc w:val="both"/>
        <w:rPr>
          <w:rFonts w:eastAsia="Times New Roman" w:cstheme="minorHAnsi"/>
          <w:b/>
        </w:rPr>
      </w:pPr>
      <w:r>
        <w:rPr>
          <w:rFonts w:eastAsia="Times New Roman" w:cstheme="minorHAnsi"/>
          <w:b/>
        </w:rPr>
        <w:t>Supplemental figures</w:t>
      </w:r>
      <w:r w:rsidRPr="00231346">
        <w:rPr>
          <w:rFonts w:eastAsia="Times New Roman" w:cstheme="minorHAnsi"/>
          <w:b/>
        </w:rPr>
        <w:t xml:space="preserve"> for:</w:t>
      </w:r>
    </w:p>
    <w:p w:rsidR="002C1123" w:rsidRPr="00231346" w:rsidRDefault="002C1123" w:rsidP="002C1123">
      <w:pPr>
        <w:spacing w:after="0" w:line="480" w:lineRule="auto"/>
        <w:jc w:val="both"/>
        <w:rPr>
          <w:rFonts w:eastAsia="Times New Roman" w:cstheme="minorHAnsi"/>
        </w:rPr>
      </w:pPr>
      <w:r w:rsidRPr="00231346">
        <w:rPr>
          <w:rFonts w:eastAsia="Times New Roman" w:cstheme="minorHAnsi"/>
        </w:rPr>
        <w:t>Illicit Drug Use and the Genetic Overlap with Cannabis Use</w:t>
      </w:r>
    </w:p>
    <w:p w:rsidR="002C1123" w:rsidRDefault="002C1123" w:rsidP="002C1123">
      <w:pPr>
        <w:spacing w:after="0" w:line="240" w:lineRule="auto"/>
        <w:jc w:val="both"/>
        <w:rPr>
          <w:rFonts w:eastAsia="Times New Roman" w:cstheme="minorHAnsi"/>
          <w:vertAlign w:val="superscript"/>
          <w:lang w:val="nl-NL"/>
        </w:rPr>
      </w:pPr>
      <w:r w:rsidRPr="003A1182">
        <w:rPr>
          <w:rFonts w:eastAsia="Times New Roman" w:cstheme="minorHAnsi"/>
          <w:lang w:val="nl-NL"/>
        </w:rPr>
        <w:t xml:space="preserve">Jacqueline </w:t>
      </w:r>
      <w:r>
        <w:rPr>
          <w:rFonts w:eastAsia="Times New Roman" w:cstheme="minorHAnsi"/>
          <w:lang w:val="nl-NL"/>
        </w:rPr>
        <w:t xml:space="preserve">M. </w:t>
      </w:r>
      <w:r w:rsidRPr="003A1182">
        <w:rPr>
          <w:rFonts w:eastAsia="Times New Roman" w:cstheme="minorHAnsi"/>
          <w:lang w:val="nl-NL"/>
        </w:rPr>
        <w:t>Vink</w:t>
      </w:r>
      <w:r>
        <w:rPr>
          <w:rFonts w:eastAsia="Times New Roman" w:cstheme="minorHAnsi"/>
          <w:vertAlign w:val="superscript"/>
          <w:lang w:val="nl-NL"/>
        </w:rPr>
        <w:t>1#</w:t>
      </w:r>
      <w:r w:rsidRPr="003A1182">
        <w:rPr>
          <w:rFonts w:eastAsia="Times New Roman" w:cstheme="minorHAnsi"/>
          <w:lang w:val="nl-NL"/>
        </w:rPr>
        <w:t>, Laura Veul</w:t>
      </w:r>
      <w:r>
        <w:rPr>
          <w:rFonts w:eastAsia="Times New Roman" w:cstheme="minorHAnsi"/>
          <w:vertAlign w:val="superscript"/>
          <w:lang w:val="nl-NL"/>
        </w:rPr>
        <w:t>2</w:t>
      </w:r>
      <w:r w:rsidRPr="003A1182">
        <w:rPr>
          <w:rFonts w:eastAsia="Times New Roman" w:cstheme="minorHAnsi"/>
          <w:lang w:val="nl-NL"/>
        </w:rPr>
        <w:t xml:space="preserve">, </w:t>
      </w:r>
      <w:r>
        <w:rPr>
          <w:rFonts w:eastAsia="Times New Roman" w:cstheme="minorHAnsi"/>
          <w:lang w:val="nl-NL"/>
        </w:rPr>
        <w:t>Abdel Abdellaoui</w:t>
      </w:r>
      <w:r>
        <w:rPr>
          <w:rFonts w:eastAsia="Times New Roman" w:cstheme="minorHAnsi"/>
          <w:vertAlign w:val="superscript"/>
          <w:lang w:val="nl-NL"/>
        </w:rPr>
        <w:t>2</w:t>
      </w:r>
      <w:r w:rsidRPr="003F4BF8">
        <w:rPr>
          <w:rFonts w:eastAsia="Times New Roman" w:cstheme="minorHAnsi"/>
          <w:lang w:val="nl-NL"/>
        </w:rPr>
        <w:t xml:space="preserve">, </w:t>
      </w:r>
      <w:r w:rsidRPr="003A1182">
        <w:rPr>
          <w:rFonts w:cstheme="minorHAnsi"/>
          <w:lang w:val="nl-NL"/>
        </w:rPr>
        <w:t>Jouke-Jan Hottenga</w:t>
      </w:r>
      <w:r>
        <w:rPr>
          <w:rFonts w:cstheme="minorHAnsi"/>
          <w:vertAlign w:val="superscript"/>
          <w:lang w:val="nl-NL"/>
        </w:rPr>
        <w:t>3</w:t>
      </w:r>
      <w:r w:rsidRPr="003A1182">
        <w:rPr>
          <w:rFonts w:cstheme="minorHAnsi"/>
          <w:lang w:val="nl-NL"/>
        </w:rPr>
        <w:t xml:space="preserve">, Dorret </w:t>
      </w:r>
      <w:r>
        <w:rPr>
          <w:rFonts w:cstheme="minorHAnsi"/>
          <w:lang w:val="nl-NL"/>
        </w:rPr>
        <w:t xml:space="preserve">I. </w:t>
      </w:r>
      <w:r w:rsidRPr="003A1182">
        <w:rPr>
          <w:rFonts w:cstheme="minorHAnsi"/>
          <w:lang w:val="nl-NL"/>
        </w:rPr>
        <w:t>Boomsma</w:t>
      </w:r>
      <w:r>
        <w:rPr>
          <w:rFonts w:cstheme="minorHAnsi"/>
          <w:vertAlign w:val="superscript"/>
          <w:lang w:val="nl-NL"/>
        </w:rPr>
        <w:t>3</w:t>
      </w:r>
      <w:r w:rsidRPr="003A1182">
        <w:rPr>
          <w:rFonts w:cstheme="minorHAnsi"/>
          <w:lang w:val="nl-NL"/>
        </w:rPr>
        <w:t>,</w:t>
      </w:r>
      <w:r w:rsidRPr="003A1182">
        <w:rPr>
          <w:rFonts w:eastAsia="Times New Roman" w:cstheme="minorHAnsi"/>
          <w:lang w:val="nl-NL"/>
        </w:rPr>
        <w:t xml:space="preserve"> Karin </w:t>
      </w:r>
      <w:r>
        <w:rPr>
          <w:rFonts w:eastAsia="Times New Roman" w:cstheme="minorHAnsi"/>
          <w:lang w:val="nl-NL"/>
        </w:rPr>
        <w:t xml:space="preserve">J.H. </w:t>
      </w:r>
      <w:r w:rsidRPr="003A1182">
        <w:rPr>
          <w:rFonts w:eastAsia="Times New Roman" w:cstheme="minorHAnsi"/>
          <w:lang w:val="nl-NL"/>
        </w:rPr>
        <w:t>Verweij</w:t>
      </w:r>
      <w:r>
        <w:rPr>
          <w:rFonts w:eastAsia="Times New Roman" w:cstheme="minorHAnsi"/>
          <w:vertAlign w:val="superscript"/>
          <w:lang w:val="nl-NL"/>
        </w:rPr>
        <w:t>2</w:t>
      </w:r>
    </w:p>
    <w:p w:rsidR="002C1123" w:rsidRDefault="002C1123" w:rsidP="002C1123">
      <w:pPr>
        <w:spacing w:after="0" w:line="240" w:lineRule="auto"/>
        <w:jc w:val="both"/>
        <w:rPr>
          <w:rFonts w:eastAsia="Times New Roman" w:cstheme="minorHAnsi"/>
          <w:vertAlign w:val="superscript"/>
          <w:lang w:val="nl-NL"/>
        </w:rPr>
      </w:pPr>
    </w:p>
    <w:p w:rsidR="002C1123" w:rsidRPr="003373FA" w:rsidRDefault="002C1123" w:rsidP="002C1123">
      <w:pPr>
        <w:spacing w:after="0" w:line="240" w:lineRule="auto"/>
        <w:jc w:val="both"/>
        <w:rPr>
          <w:rFonts w:eastAsia="Times New Roman" w:cstheme="minorHAnsi"/>
          <w:lang w:val="nl-NL"/>
        </w:rPr>
      </w:pPr>
    </w:p>
    <w:p w:rsidR="002C1123" w:rsidRPr="00650EA5" w:rsidRDefault="002C1123" w:rsidP="002C1123">
      <w:pPr>
        <w:spacing w:after="0" w:line="240" w:lineRule="auto"/>
        <w:jc w:val="both"/>
        <w:rPr>
          <w:rFonts w:eastAsia="Times New Roman" w:cstheme="minorHAnsi"/>
          <w:lang w:val="en-US"/>
        </w:rPr>
      </w:pPr>
      <w:r w:rsidRPr="00650EA5">
        <w:rPr>
          <w:rFonts w:eastAsia="Times New Roman" w:cstheme="minorHAnsi"/>
          <w:vertAlign w:val="superscript"/>
          <w:lang w:val="en-US"/>
        </w:rPr>
        <w:t>1</w:t>
      </w:r>
      <w:r w:rsidRPr="00650EA5">
        <w:rPr>
          <w:rFonts w:eastAsia="Times New Roman" w:cstheme="minorHAnsi"/>
          <w:lang w:val="en-US"/>
        </w:rPr>
        <w:t xml:space="preserve"> Behavioural Science Institute, Radboud University</w:t>
      </w:r>
      <w:r w:rsidRPr="003F4BF8">
        <w:rPr>
          <w:rFonts w:eastAsia="Times New Roman" w:cstheme="minorHAnsi"/>
          <w:lang w:val="en-US"/>
        </w:rPr>
        <w:t xml:space="preserve">, </w:t>
      </w:r>
      <w:r w:rsidRPr="003F4BF8">
        <w:rPr>
          <w:rFonts w:eastAsiaTheme="minorEastAsia" w:cstheme="minorHAnsi"/>
          <w:noProof/>
          <w:lang w:eastAsia="nl-NL"/>
        </w:rPr>
        <w:t>Montessorilaan 3, 6525 HR,</w:t>
      </w:r>
      <w:r>
        <w:rPr>
          <w:rFonts w:eastAsia="Times New Roman" w:cstheme="minorHAnsi"/>
          <w:lang w:val="en-US"/>
        </w:rPr>
        <w:t xml:space="preserve"> </w:t>
      </w:r>
      <w:r w:rsidRPr="00650EA5">
        <w:rPr>
          <w:rFonts w:eastAsia="Times New Roman" w:cstheme="minorHAnsi"/>
          <w:lang w:val="en-US"/>
        </w:rPr>
        <w:t>Nijmegen, the Netherlands</w:t>
      </w:r>
    </w:p>
    <w:p w:rsidR="002C1123" w:rsidRDefault="002C1123" w:rsidP="002C1123">
      <w:pPr>
        <w:spacing w:after="0" w:line="240" w:lineRule="auto"/>
        <w:jc w:val="both"/>
        <w:rPr>
          <w:rFonts w:eastAsia="Times New Roman" w:cstheme="minorHAnsi"/>
          <w:lang w:val="nl-NL"/>
        </w:rPr>
      </w:pPr>
      <w:r w:rsidRPr="00564D2E">
        <w:rPr>
          <w:rFonts w:eastAsia="Times New Roman" w:cstheme="minorHAnsi"/>
          <w:vertAlign w:val="superscript"/>
          <w:lang w:val="nl-NL"/>
        </w:rPr>
        <w:t>2</w:t>
      </w:r>
      <w:r w:rsidRPr="00564D2E">
        <w:rPr>
          <w:rFonts w:eastAsia="Times New Roman" w:cstheme="minorHAnsi"/>
          <w:lang w:val="nl-NL"/>
        </w:rPr>
        <w:t xml:space="preserve"> Amsterdam UMC, location AMC, University of Amsterdam, </w:t>
      </w:r>
      <w:r w:rsidRPr="00564D2E">
        <w:rPr>
          <w:rFonts w:cstheme="minorHAnsi"/>
          <w:color w:val="222222"/>
          <w:shd w:val="clear" w:color="auto" w:fill="FFFFFF"/>
          <w:lang w:val="nl-NL"/>
        </w:rPr>
        <w:t>Meibergdreef 9, 1105 AZ </w:t>
      </w:r>
      <w:r w:rsidRPr="00564D2E">
        <w:rPr>
          <w:rFonts w:eastAsia="Times New Roman" w:cstheme="minorHAnsi"/>
          <w:lang w:val="nl-NL"/>
        </w:rPr>
        <w:t xml:space="preserve"> Amsterdam, the Netherlands</w:t>
      </w:r>
    </w:p>
    <w:p w:rsidR="002C1123" w:rsidRPr="00564D2E" w:rsidRDefault="002C1123" w:rsidP="002C1123">
      <w:pPr>
        <w:spacing w:after="0" w:line="240" w:lineRule="auto"/>
        <w:jc w:val="both"/>
        <w:rPr>
          <w:rFonts w:eastAsia="Times New Roman" w:cstheme="minorHAnsi"/>
          <w:lang w:val="nl-NL"/>
        </w:rPr>
      </w:pPr>
      <w:r w:rsidRPr="00564D2E">
        <w:rPr>
          <w:rFonts w:eastAsia="Times New Roman" w:cstheme="minorHAnsi"/>
          <w:vertAlign w:val="superscript"/>
          <w:lang w:val="nl-NL"/>
        </w:rPr>
        <w:t>3</w:t>
      </w:r>
      <w:r w:rsidRPr="00564D2E">
        <w:rPr>
          <w:rFonts w:eastAsia="Times New Roman" w:cstheme="minorHAnsi"/>
          <w:lang w:val="nl-NL"/>
        </w:rPr>
        <w:t xml:space="preserve"> Netherlands Twin Register</w:t>
      </w:r>
      <w:r>
        <w:rPr>
          <w:rFonts w:eastAsia="Times New Roman" w:cstheme="minorHAnsi"/>
          <w:lang w:val="nl-NL"/>
        </w:rPr>
        <w:t xml:space="preserve"> / Deparment of Biological Psychology, Vrije Universiteit, De Boelelaan 1105, 1081 HV Amsterdam, the Netherlands.</w:t>
      </w:r>
    </w:p>
    <w:p w:rsidR="002C1123" w:rsidRDefault="002C1123" w:rsidP="002C1123">
      <w:pPr>
        <w:spacing w:after="0" w:line="240" w:lineRule="auto"/>
        <w:jc w:val="both"/>
        <w:rPr>
          <w:rFonts w:eastAsia="Times New Roman" w:cstheme="minorHAnsi"/>
          <w:lang w:val="nl-NL"/>
        </w:rPr>
      </w:pPr>
    </w:p>
    <w:p w:rsidR="002C1123" w:rsidRPr="00564D2E" w:rsidRDefault="002C1123" w:rsidP="002C1123">
      <w:pPr>
        <w:spacing w:after="0" w:line="240" w:lineRule="auto"/>
        <w:jc w:val="both"/>
        <w:rPr>
          <w:rFonts w:eastAsia="Times New Roman" w:cstheme="minorHAnsi"/>
          <w:lang w:val="nl-NL"/>
        </w:rPr>
      </w:pPr>
    </w:p>
    <w:p w:rsidR="002C1123" w:rsidRDefault="002C1123" w:rsidP="002C1123">
      <w:pPr>
        <w:spacing w:after="0" w:line="240" w:lineRule="auto"/>
        <w:jc w:val="both"/>
        <w:rPr>
          <w:rFonts w:eastAsia="Times New Roman" w:cstheme="minorHAnsi"/>
          <w:lang w:val="en-US"/>
        </w:rPr>
      </w:pPr>
      <w:r w:rsidRPr="00564D2E">
        <w:rPr>
          <w:rFonts w:eastAsia="Times New Roman" w:cstheme="minorHAnsi"/>
          <w:vertAlign w:val="superscript"/>
          <w:lang w:val="en-US"/>
        </w:rPr>
        <w:t xml:space="preserve"># </w:t>
      </w:r>
      <w:r>
        <w:rPr>
          <w:rFonts w:eastAsia="Times New Roman" w:cstheme="minorHAnsi"/>
          <w:lang w:val="en-US"/>
        </w:rPr>
        <w:t xml:space="preserve">Corresponding author: </w:t>
      </w:r>
    </w:p>
    <w:p w:rsidR="002C1123" w:rsidRPr="003A5E0C" w:rsidRDefault="002C1123" w:rsidP="002C1123">
      <w:pPr>
        <w:spacing w:line="240" w:lineRule="auto"/>
        <w:rPr>
          <w:rFonts w:eastAsia="Times New Roman" w:cstheme="minorHAnsi"/>
          <w:lang w:val="en-US"/>
        </w:rPr>
      </w:pPr>
      <w:r w:rsidRPr="003A5E0C">
        <w:rPr>
          <w:rFonts w:eastAsia="Times New Roman" w:cstheme="minorHAnsi"/>
          <w:lang w:val="en-US"/>
        </w:rPr>
        <w:t xml:space="preserve">Jacqueline Vink, Behavioural Science Institute, Radboud University, </w:t>
      </w:r>
      <w:r w:rsidRPr="003A5E0C">
        <w:rPr>
          <w:rFonts w:eastAsiaTheme="minorEastAsia" w:cstheme="minorHAnsi"/>
          <w:noProof/>
          <w:lang w:eastAsia="nl-NL"/>
        </w:rPr>
        <w:t xml:space="preserve">Montessorilaan 3, 6525 HR Nijmegen, The Netherlands. </w:t>
      </w:r>
      <w:r w:rsidRPr="003A5E0C">
        <w:rPr>
          <w:rFonts w:eastAsia="Times New Roman" w:cstheme="minorHAnsi"/>
          <w:lang w:val="en-US"/>
        </w:rPr>
        <w:t xml:space="preserve">email: </w:t>
      </w:r>
      <w:hyperlink r:id="rId6" w:history="1">
        <w:r w:rsidRPr="003A5E0C">
          <w:rPr>
            <w:rStyle w:val="Hyperlink"/>
            <w:rFonts w:eastAsia="Times New Roman" w:cstheme="minorHAnsi"/>
            <w:lang w:val="en-US"/>
          </w:rPr>
          <w:t>j.vink@bsi.ru.nl</w:t>
        </w:r>
      </w:hyperlink>
      <w:r w:rsidRPr="003A5E0C">
        <w:rPr>
          <w:rFonts w:eastAsia="Times New Roman" w:cstheme="minorHAnsi"/>
          <w:lang w:val="en-US"/>
        </w:rPr>
        <w:t xml:space="preserve"> </w:t>
      </w:r>
    </w:p>
    <w:p w:rsidR="002C1123" w:rsidRDefault="002C1123" w:rsidP="002C1123">
      <w:pPr>
        <w:spacing w:after="0" w:line="240" w:lineRule="auto"/>
        <w:jc w:val="both"/>
        <w:rPr>
          <w:rFonts w:eastAsia="Times New Roman" w:cstheme="minorHAnsi"/>
          <w:lang w:val="en-US"/>
        </w:rPr>
      </w:pPr>
    </w:p>
    <w:p w:rsidR="002C1123" w:rsidRPr="008B4760" w:rsidRDefault="002C1123" w:rsidP="002C1123">
      <w:pPr>
        <w:spacing w:after="0" w:line="240" w:lineRule="auto"/>
        <w:rPr>
          <w:rFonts w:eastAsia="Times New Roman" w:cstheme="minorHAnsi"/>
          <w:b/>
          <w:lang w:val="en-US"/>
        </w:rPr>
      </w:pPr>
      <w:r w:rsidRPr="008B4760">
        <w:rPr>
          <w:b/>
          <w:lang w:val="en-US"/>
        </w:rPr>
        <w:t>This material supplements, but does not replace, the peer-reviewed paper in Drug and Alcohol Dependence</w:t>
      </w: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rsidP="00CD41B8">
      <w:pPr>
        <w:spacing w:line="240" w:lineRule="auto"/>
        <w:jc w:val="both"/>
        <w:rPr>
          <w:rFonts w:cstheme="minorHAnsi"/>
          <w:b/>
          <w:lang w:val="en-US"/>
        </w:rPr>
      </w:pPr>
    </w:p>
    <w:p w:rsidR="00CD41B8" w:rsidRDefault="00CD41B8">
      <w:pPr>
        <w:rPr>
          <w:rFonts w:cstheme="minorHAnsi"/>
          <w:b/>
          <w:lang w:val="en-US"/>
        </w:rPr>
      </w:pPr>
      <w:r>
        <w:rPr>
          <w:rFonts w:cstheme="minorHAnsi"/>
          <w:b/>
          <w:lang w:val="en-US"/>
        </w:rPr>
        <w:br w:type="page"/>
      </w:r>
    </w:p>
    <w:p w:rsidR="0027363F" w:rsidRDefault="00CD41B8" w:rsidP="0027363F">
      <w:pPr>
        <w:autoSpaceDE w:val="0"/>
        <w:autoSpaceDN w:val="0"/>
        <w:adjustRightInd w:val="0"/>
        <w:spacing w:after="0" w:line="480" w:lineRule="auto"/>
      </w:pPr>
      <w:r>
        <w:rPr>
          <w:rFonts w:cstheme="minorHAnsi"/>
          <w:b/>
          <w:lang w:val="en-US"/>
        </w:rPr>
        <w:lastRenderedPageBreak/>
        <w:t>Figures</w:t>
      </w:r>
      <w:r w:rsidR="0027363F">
        <w:rPr>
          <w:rFonts w:cstheme="minorHAnsi"/>
          <w:b/>
          <w:lang w:val="en-US"/>
        </w:rPr>
        <w:t xml:space="preserve"> 1-3</w:t>
      </w:r>
      <w:r>
        <w:rPr>
          <w:rFonts w:cstheme="minorHAnsi"/>
          <w:b/>
          <w:lang w:val="en-US"/>
        </w:rPr>
        <w:t>.</w:t>
      </w:r>
      <w:r w:rsidR="0027363F">
        <w:rPr>
          <w:rFonts w:cstheme="minorHAnsi"/>
          <w:b/>
          <w:lang w:val="en-US"/>
        </w:rPr>
        <w:t xml:space="preserve"> Quintile plots for respectively ecstasy use, stimulants and any illicit drug use. </w:t>
      </w:r>
      <w:r w:rsidR="0027363F" w:rsidRPr="0027363F">
        <w:rPr>
          <w:lang w:val="en-US"/>
        </w:rPr>
        <w:t>T</w:t>
      </w:r>
      <w:r w:rsidR="0027363F" w:rsidRPr="0027363F">
        <w:t>o inspect how drug use varied with increasing cannabis PRS we used quintile plots. The cannabis PRS was divided in quintiles, and we calculated the odds ratio for respectively ecstasy use, stimulants and any illicit drug use within each quintile (compared to the lowest quintile as reference category). Odds ratios were calculated with binary logistic regression analyses including the same covariates as in the main analyses (</w:t>
      </w:r>
      <w:r w:rsidR="0027363F" w:rsidRPr="0027363F">
        <w:rPr>
          <w:rFonts w:cstheme="minorHAnsi"/>
          <w:lang w:val="en-US"/>
        </w:rPr>
        <w:t>sex, age, and 10 genetic principal components</w:t>
      </w:r>
      <w:r w:rsidR="0027363F" w:rsidRPr="0027363F">
        <w:t>).</w:t>
      </w:r>
      <w:r w:rsidR="0027363F">
        <w:t xml:space="preserve"> </w:t>
      </w:r>
    </w:p>
    <w:p w:rsidR="0027363F" w:rsidRDefault="0027363F" w:rsidP="0027363F">
      <w:pPr>
        <w:autoSpaceDE w:val="0"/>
        <w:autoSpaceDN w:val="0"/>
        <w:adjustRightInd w:val="0"/>
        <w:spacing w:after="0" w:line="480" w:lineRule="auto"/>
      </w:pPr>
    </w:p>
    <w:p w:rsidR="0027363F" w:rsidRDefault="0027363F" w:rsidP="0027363F">
      <w:pPr>
        <w:autoSpaceDE w:val="0"/>
        <w:autoSpaceDN w:val="0"/>
        <w:adjustRightInd w:val="0"/>
        <w:spacing w:after="0" w:line="480" w:lineRule="auto"/>
      </w:pPr>
    </w:p>
    <w:p w:rsidR="0027363F" w:rsidRDefault="0027363F" w:rsidP="0027363F">
      <w:pPr>
        <w:autoSpaceDE w:val="0"/>
        <w:autoSpaceDN w:val="0"/>
        <w:adjustRightInd w:val="0"/>
        <w:spacing w:after="0" w:line="480" w:lineRule="auto"/>
      </w:pPr>
    </w:p>
    <w:p w:rsidR="0027363F" w:rsidRDefault="0027363F" w:rsidP="0027363F">
      <w:pPr>
        <w:autoSpaceDE w:val="0"/>
        <w:autoSpaceDN w:val="0"/>
        <w:adjustRightInd w:val="0"/>
        <w:spacing w:after="0" w:line="480" w:lineRule="auto"/>
      </w:pPr>
    </w:p>
    <w:p w:rsidR="0027363F" w:rsidRDefault="0027363F" w:rsidP="0027363F">
      <w:pPr>
        <w:autoSpaceDE w:val="0"/>
        <w:autoSpaceDN w:val="0"/>
        <w:adjustRightInd w:val="0"/>
        <w:spacing w:after="0" w:line="480" w:lineRule="auto"/>
      </w:pPr>
    </w:p>
    <w:p w:rsidR="0027363F" w:rsidRDefault="0027363F" w:rsidP="0027363F">
      <w:pPr>
        <w:autoSpaceDE w:val="0"/>
        <w:autoSpaceDN w:val="0"/>
        <w:adjustRightInd w:val="0"/>
        <w:spacing w:after="0" w:line="480" w:lineRule="auto"/>
      </w:pPr>
    </w:p>
    <w:p w:rsidR="0027363F" w:rsidRDefault="0027363F">
      <w:r>
        <w:br w:type="page"/>
      </w:r>
    </w:p>
    <w:p w:rsidR="002C1123" w:rsidRDefault="0027363F" w:rsidP="0027363F">
      <w:pPr>
        <w:autoSpaceDE w:val="0"/>
        <w:autoSpaceDN w:val="0"/>
        <w:adjustRightInd w:val="0"/>
        <w:spacing w:after="0" w:line="480" w:lineRule="auto"/>
      </w:pPr>
      <w:r>
        <w:lastRenderedPageBreak/>
        <w:t>Figure 1. Ecstasy use</w:t>
      </w:r>
    </w:p>
    <w:p w:rsidR="00BB0CA6" w:rsidRDefault="00BB0CA6" w:rsidP="0027363F">
      <w:pPr>
        <w:autoSpaceDE w:val="0"/>
        <w:autoSpaceDN w:val="0"/>
        <w:adjustRightInd w:val="0"/>
        <w:spacing w:after="0" w:line="480" w:lineRule="auto"/>
        <w:rPr>
          <w:rFonts w:cstheme="minorHAnsi"/>
          <w:b/>
          <w:lang w:val="en-US"/>
        </w:rPr>
      </w:pPr>
      <w:bookmarkStart w:id="0" w:name="_GoBack"/>
      <w:bookmarkEnd w:id="0"/>
    </w:p>
    <w:p w:rsidR="00DA55E5" w:rsidRDefault="0077185A">
      <w:r>
        <w:rPr>
          <w:noProof/>
          <w:lang w:val="nl-NL" w:eastAsia="nl-NL"/>
        </w:rPr>
        <w:drawing>
          <wp:inline distT="0" distB="0" distL="0" distR="0" wp14:anchorId="153682F8" wp14:editId="45BFBE27">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7185A" w:rsidRDefault="0077185A"/>
    <w:p w:rsidR="0077185A" w:rsidRDefault="0077185A">
      <w:r>
        <w:rPr>
          <w:noProof/>
          <w:lang w:val="nl-NL" w:eastAsia="nl-NL"/>
        </w:rPr>
        <w:drawing>
          <wp:inline distT="0" distB="0" distL="0" distR="0" wp14:anchorId="42CEE5FA" wp14:editId="7FF3030A">
            <wp:extent cx="4572000" cy="27432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7185A" w:rsidRDefault="0077185A"/>
    <w:p w:rsidR="0027363F" w:rsidRDefault="0027363F"/>
    <w:p w:rsidR="0027363F" w:rsidRDefault="0027363F">
      <w:r>
        <w:br w:type="page"/>
      </w:r>
    </w:p>
    <w:p w:rsidR="0027363F" w:rsidRDefault="0027363F" w:rsidP="0027363F">
      <w:pPr>
        <w:autoSpaceDE w:val="0"/>
        <w:autoSpaceDN w:val="0"/>
        <w:adjustRightInd w:val="0"/>
        <w:spacing w:after="0" w:line="480" w:lineRule="auto"/>
      </w:pPr>
      <w:r>
        <w:lastRenderedPageBreak/>
        <w:t xml:space="preserve">Figure </w:t>
      </w:r>
      <w:r>
        <w:t>2</w:t>
      </w:r>
      <w:r>
        <w:t>.</w:t>
      </w:r>
      <w:r>
        <w:t xml:space="preserve"> Stimulants</w:t>
      </w:r>
    </w:p>
    <w:p w:rsidR="0027363F" w:rsidRDefault="0027363F" w:rsidP="0027363F">
      <w:pPr>
        <w:autoSpaceDE w:val="0"/>
        <w:autoSpaceDN w:val="0"/>
        <w:adjustRightInd w:val="0"/>
        <w:spacing w:after="0" w:line="480" w:lineRule="auto"/>
      </w:pPr>
    </w:p>
    <w:p w:rsidR="0077185A" w:rsidRDefault="0077185A" w:rsidP="0027363F">
      <w:r>
        <w:rPr>
          <w:noProof/>
          <w:lang w:val="nl-NL" w:eastAsia="nl-NL"/>
        </w:rPr>
        <w:drawing>
          <wp:inline distT="0" distB="0" distL="0" distR="0" wp14:anchorId="51046B66" wp14:editId="580407AE">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7185A" w:rsidRDefault="0077185A"/>
    <w:p w:rsidR="0077185A" w:rsidRDefault="0077185A">
      <w:r>
        <w:rPr>
          <w:noProof/>
          <w:lang w:val="nl-NL" w:eastAsia="nl-NL"/>
        </w:rPr>
        <w:drawing>
          <wp:inline distT="0" distB="0" distL="0" distR="0" wp14:anchorId="5AB0EEC7" wp14:editId="35FD610D">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7185A" w:rsidRDefault="0077185A"/>
    <w:p w:rsidR="0027363F" w:rsidRDefault="0027363F"/>
    <w:p w:rsidR="0027363F" w:rsidRDefault="0027363F"/>
    <w:p w:rsidR="0027363F" w:rsidRDefault="0027363F">
      <w:r>
        <w:br w:type="page"/>
      </w:r>
    </w:p>
    <w:p w:rsidR="0027363F" w:rsidRDefault="0027363F">
      <w:r>
        <w:lastRenderedPageBreak/>
        <w:t>Figure 3. Any illicit drug use</w:t>
      </w:r>
    </w:p>
    <w:p w:rsidR="0027363F" w:rsidRDefault="0027363F"/>
    <w:p w:rsidR="0077185A" w:rsidRDefault="0077185A">
      <w:r>
        <w:rPr>
          <w:noProof/>
          <w:lang w:val="nl-NL" w:eastAsia="nl-NL"/>
        </w:rPr>
        <w:drawing>
          <wp:inline distT="0" distB="0" distL="0" distR="0" wp14:anchorId="47C163AB" wp14:editId="2800FFB0">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7185A" w:rsidRDefault="0077185A"/>
    <w:p w:rsidR="0077185A" w:rsidRDefault="0077185A">
      <w:r>
        <w:rPr>
          <w:noProof/>
          <w:lang w:val="nl-NL" w:eastAsia="nl-NL"/>
        </w:rPr>
        <w:drawing>
          <wp:inline distT="0" distB="0" distL="0" distR="0" wp14:anchorId="13333252" wp14:editId="59B200E3">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sectPr w:rsidR="007718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B0D" w:rsidRDefault="001D2B0D" w:rsidP="0027363F">
      <w:pPr>
        <w:spacing w:after="0" w:line="240" w:lineRule="auto"/>
      </w:pPr>
      <w:r>
        <w:separator/>
      </w:r>
    </w:p>
  </w:endnote>
  <w:endnote w:type="continuationSeparator" w:id="0">
    <w:p w:rsidR="001D2B0D" w:rsidRDefault="001D2B0D" w:rsidP="00273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B0D" w:rsidRDefault="001D2B0D" w:rsidP="0027363F">
      <w:pPr>
        <w:spacing w:after="0" w:line="240" w:lineRule="auto"/>
      </w:pPr>
      <w:r>
        <w:separator/>
      </w:r>
    </w:p>
  </w:footnote>
  <w:footnote w:type="continuationSeparator" w:id="0">
    <w:p w:rsidR="001D2B0D" w:rsidRDefault="001D2B0D" w:rsidP="002736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123"/>
    <w:rsid w:val="001B359B"/>
    <w:rsid w:val="001D2B0D"/>
    <w:rsid w:val="0027363F"/>
    <w:rsid w:val="002C1123"/>
    <w:rsid w:val="0077185A"/>
    <w:rsid w:val="00BB0CA6"/>
    <w:rsid w:val="00CD41B8"/>
    <w:rsid w:val="00F533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B9D27"/>
  <w15:chartTrackingRefBased/>
  <w15:docId w15:val="{3E224038-E711-4BB0-839D-F48679A3D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123"/>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C1123"/>
    <w:rPr>
      <w:color w:val="0563C1" w:themeColor="hyperlink"/>
      <w:u w:val="single"/>
    </w:rPr>
  </w:style>
  <w:style w:type="paragraph" w:styleId="Header">
    <w:name w:val="header"/>
    <w:basedOn w:val="Normal"/>
    <w:link w:val="HeaderChar"/>
    <w:uiPriority w:val="99"/>
    <w:unhideWhenUsed/>
    <w:rsid w:val="002736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27363F"/>
    <w:rPr>
      <w:lang w:val="en-AU"/>
    </w:rPr>
  </w:style>
  <w:style w:type="paragraph" w:styleId="Footer">
    <w:name w:val="footer"/>
    <w:basedOn w:val="Normal"/>
    <w:link w:val="FooterChar"/>
    <w:uiPriority w:val="99"/>
    <w:unhideWhenUsed/>
    <w:rsid w:val="002736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27363F"/>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vink@bsi.ru.nl" TargetMode="External"/><Relationship Id="rId11" Type="http://schemas.openxmlformats.org/officeDocument/2006/relationships/chart" Target="charts/chart5.xml"/><Relationship Id="rId5" Type="http://schemas.openxmlformats.org/officeDocument/2006/relationships/endnotes" Target="endnotes.xml"/><Relationship Id="rId10" Type="http://schemas.openxmlformats.org/officeDocument/2006/relationships/chart" Target="charts/chart4.xml"/><Relationship Id="rId4" Type="http://schemas.openxmlformats.org/officeDocument/2006/relationships/footnotes" Target="footnotes.xml"/><Relationship Id="rId9" Type="http://schemas.openxmlformats.org/officeDocument/2006/relationships/chart" Target="charts/chart3.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889166\Desktop\Jacqueline\werk\Ecstasy%20paper%203\Revision\Additional%20figur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889166\Desktop\Jacqueline\werk\Ecstasy%20paper%203\Revision\Additional%20figur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889166\Desktop\Jacqueline\werk\Ecstasy%20paper%203\Revision\Additional%20figure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U889166\Desktop\Jacqueline\werk\Ecstasy%20paper%203\Revision\Additional%20figure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U889166\Desktop\Jacqueline\werk\Ecstasy%20paper%203\Revision\Additional%20figure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U889166\Desktop\Jacqueline\werk\Ecstasy%20paper%203\Revision\Additional%20figures.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Ecstacy</a:t>
            </a:r>
            <a:r>
              <a:rPr lang="nl-NL" baseline="0"/>
              <a:t> (total sample)</a:t>
            </a:r>
            <a:endParaRPr lang="nl-N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lineChart>
        <c:grouping val="standard"/>
        <c:varyColors val="0"/>
        <c:ser>
          <c:idx val="0"/>
          <c:order val="0"/>
          <c:spPr>
            <a:ln w="28575" cap="rnd">
              <a:noFill/>
              <a:round/>
            </a:ln>
            <a:effectLst/>
          </c:spPr>
          <c:marker>
            <c:symbol val="square"/>
            <c:size val="6"/>
            <c:spPr>
              <a:solidFill>
                <a:schemeClr val="accent1"/>
              </a:solidFill>
              <a:ln w="9525">
                <a:solidFill>
                  <a:schemeClr val="accent1"/>
                </a:solidFill>
              </a:ln>
              <a:effectLst/>
            </c:spPr>
          </c:marker>
          <c:errBars>
            <c:errDir val="y"/>
            <c:errBarType val="both"/>
            <c:errValType val="cust"/>
            <c:noEndCap val="1"/>
            <c:plus>
              <c:numRef>
                <c:f>Sheet1!$G$87:$G$91</c:f>
                <c:numCache>
                  <c:formatCode>General</c:formatCode>
                  <c:ptCount val="5"/>
                  <c:pt idx="0">
                    <c:v>0</c:v>
                  </c:pt>
                  <c:pt idx="1">
                    <c:v>0.78599999999999981</c:v>
                  </c:pt>
                  <c:pt idx="2">
                    <c:v>1.018</c:v>
                  </c:pt>
                  <c:pt idx="3">
                    <c:v>1.1309999999999998</c:v>
                  </c:pt>
                  <c:pt idx="4">
                    <c:v>1.091</c:v>
                  </c:pt>
                </c:numCache>
              </c:numRef>
            </c:plus>
            <c:minus>
              <c:numRef>
                <c:f>Sheet1!$F$87:$F$91</c:f>
                <c:numCache>
                  <c:formatCode>General</c:formatCode>
                  <c:ptCount val="5"/>
                  <c:pt idx="0">
                    <c:v>0</c:v>
                  </c:pt>
                  <c:pt idx="1">
                    <c:v>0.38700000000000012</c:v>
                  </c:pt>
                  <c:pt idx="2">
                    <c:v>0.65300000000000002</c:v>
                  </c:pt>
                  <c:pt idx="3">
                    <c:v>0.72700000000000009</c:v>
                  </c:pt>
                  <c:pt idx="4">
                    <c:v>0.70400000000000018</c:v>
                  </c:pt>
                </c:numCache>
              </c:numRef>
            </c:minus>
            <c:spPr>
              <a:noFill/>
              <a:ln w="9525" cap="flat" cmpd="sng" algn="ctr">
                <a:solidFill>
                  <a:schemeClr val="tx1">
                    <a:lumMod val="65000"/>
                    <a:lumOff val="35000"/>
                  </a:schemeClr>
                </a:solidFill>
                <a:round/>
              </a:ln>
              <a:effectLst/>
            </c:spPr>
          </c:errBars>
          <c:cat>
            <c:strRef>
              <c:f>Sheet1!$D$87:$D$91</c:f>
              <c:strCache>
                <c:ptCount val="5"/>
                <c:pt idx="0">
                  <c:v>&lt;20%</c:v>
                </c:pt>
                <c:pt idx="1">
                  <c:v>20-40%</c:v>
                </c:pt>
                <c:pt idx="2">
                  <c:v>40-60%</c:v>
                </c:pt>
                <c:pt idx="3">
                  <c:v>60-80%</c:v>
                </c:pt>
                <c:pt idx="4">
                  <c:v>&gt;80%</c:v>
                </c:pt>
              </c:strCache>
            </c:strRef>
          </c:cat>
          <c:val>
            <c:numRef>
              <c:f>Sheet1!$E$87:$E$91</c:f>
              <c:numCache>
                <c:formatCode>General</c:formatCode>
                <c:ptCount val="5"/>
                <c:pt idx="0">
                  <c:v>1</c:v>
                </c:pt>
                <c:pt idx="1">
                  <c:v>1.1180000000000001</c:v>
                </c:pt>
                <c:pt idx="2">
                  <c:v>1.8240000000000001</c:v>
                </c:pt>
                <c:pt idx="3">
                  <c:v>2.032</c:v>
                </c:pt>
                <c:pt idx="4">
                  <c:v>1.9890000000000001</c:v>
                </c:pt>
              </c:numCache>
            </c:numRef>
          </c:val>
          <c:smooth val="0"/>
          <c:extLst>
            <c:ext xmlns:c16="http://schemas.microsoft.com/office/drawing/2014/chart" uri="{C3380CC4-5D6E-409C-BE32-E72D297353CC}">
              <c16:uniqueId val="{00000000-0E77-409F-A517-4603E47957D7}"/>
            </c:ext>
          </c:extLst>
        </c:ser>
        <c:dLbls>
          <c:showLegendKey val="0"/>
          <c:showVal val="0"/>
          <c:showCatName val="0"/>
          <c:showSerName val="0"/>
          <c:showPercent val="0"/>
          <c:showBubbleSize val="0"/>
        </c:dLbls>
        <c:marker val="1"/>
        <c:smooth val="0"/>
        <c:axId val="430866088"/>
        <c:axId val="430863464"/>
      </c:lineChart>
      <c:catAx>
        <c:axId val="4308660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PRS cannabis in quintiles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30863464"/>
        <c:crosses val="autoZero"/>
        <c:auto val="1"/>
        <c:lblAlgn val="ctr"/>
        <c:lblOffset val="100"/>
        <c:noMultiLvlLbl val="0"/>
      </c:catAx>
      <c:valAx>
        <c:axId val="430863464"/>
        <c:scaling>
          <c:orientation val="minMax"/>
          <c:max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Odds Ratio (OR)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308660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Ecstasy (&gt; 1968)</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lineChart>
        <c:grouping val="standard"/>
        <c:varyColors val="0"/>
        <c:ser>
          <c:idx val="0"/>
          <c:order val="0"/>
          <c:spPr>
            <a:ln w="28575" cap="rnd">
              <a:noFill/>
              <a:round/>
            </a:ln>
            <a:effectLst/>
          </c:spPr>
          <c:marker>
            <c:symbol val="square"/>
            <c:size val="6"/>
            <c:spPr>
              <a:solidFill>
                <a:schemeClr val="accent1"/>
              </a:solidFill>
              <a:ln w="9525">
                <a:solidFill>
                  <a:schemeClr val="accent1"/>
                </a:solidFill>
              </a:ln>
              <a:effectLst/>
            </c:spPr>
          </c:marker>
          <c:errBars>
            <c:errDir val="y"/>
            <c:errBarType val="both"/>
            <c:errValType val="cust"/>
            <c:noEndCap val="1"/>
            <c:plus>
              <c:numRef>
                <c:f>Sheet1!$G$71:$G$75</c:f>
                <c:numCache>
                  <c:formatCode>General</c:formatCode>
                  <c:ptCount val="5"/>
                  <c:pt idx="0">
                    <c:v>0</c:v>
                  </c:pt>
                  <c:pt idx="1">
                    <c:v>0.80399999999999983</c:v>
                  </c:pt>
                  <c:pt idx="2">
                    <c:v>1.29</c:v>
                  </c:pt>
                  <c:pt idx="3">
                    <c:v>1.2000000000000002</c:v>
                  </c:pt>
                  <c:pt idx="4">
                    <c:v>1.2839999999999998</c:v>
                  </c:pt>
                </c:numCache>
              </c:numRef>
            </c:plus>
            <c:minus>
              <c:numRef>
                <c:f>Sheet1!$F$71:$F$75</c:f>
                <c:numCache>
                  <c:formatCode>General</c:formatCode>
                  <c:ptCount val="5"/>
                  <c:pt idx="0">
                    <c:v>0</c:v>
                  </c:pt>
                  <c:pt idx="1">
                    <c:v>0.51800000000000002</c:v>
                  </c:pt>
                  <c:pt idx="2">
                    <c:v>0.81300000000000017</c:v>
                  </c:pt>
                  <c:pt idx="3">
                    <c:v>0.74699999999999989</c:v>
                  </c:pt>
                  <c:pt idx="4">
                    <c:v>0.81000000000000028</c:v>
                  </c:pt>
                </c:numCache>
              </c:numRef>
            </c:minus>
            <c:spPr>
              <a:noFill/>
              <a:ln w="9525" cap="flat" cmpd="sng" algn="ctr">
                <a:solidFill>
                  <a:schemeClr val="tx1">
                    <a:lumMod val="65000"/>
                    <a:lumOff val="35000"/>
                  </a:schemeClr>
                </a:solidFill>
                <a:round/>
              </a:ln>
              <a:effectLst/>
            </c:spPr>
          </c:errBars>
          <c:cat>
            <c:strRef>
              <c:f>Sheet1!$D$71:$D$75</c:f>
              <c:strCache>
                <c:ptCount val="5"/>
                <c:pt idx="0">
                  <c:v>&lt;20%</c:v>
                </c:pt>
                <c:pt idx="1">
                  <c:v>20-40%</c:v>
                </c:pt>
                <c:pt idx="2">
                  <c:v>40-60%</c:v>
                </c:pt>
                <c:pt idx="3">
                  <c:v>60-80%</c:v>
                </c:pt>
                <c:pt idx="4">
                  <c:v>&gt;80%</c:v>
                </c:pt>
              </c:strCache>
            </c:strRef>
          </c:cat>
          <c:val>
            <c:numRef>
              <c:f>Sheet1!$E$71:$E$75</c:f>
              <c:numCache>
                <c:formatCode>General</c:formatCode>
                <c:ptCount val="5"/>
                <c:pt idx="0">
                  <c:v>1</c:v>
                </c:pt>
                <c:pt idx="1">
                  <c:v>1.3140000000000001</c:v>
                </c:pt>
                <c:pt idx="2">
                  <c:v>2.1920000000000002</c:v>
                </c:pt>
                <c:pt idx="3">
                  <c:v>1.98</c:v>
                </c:pt>
                <c:pt idx="4">
                  <c:v>2.1960000000000002</c:v>
                </c:pt>
              </c:numCache>
            </c:numRef>
          </c:val>
          <c:smooth val="0"/>
          <c:extLst>
            <c:ext xmlns:c16="http://schemas.microsoft.com/office/drawing/2014/chart" uri="{C3380CC4-5D6E-409C-BE32-E72D297353CC}">
              <c16:uniqueId val="{00000000-2BCD-4689-BB90-A3323C8DA53E}"/>
            </c:ext>
          </c:extLst>
        </c:ser>
        <c:dLbls>
          <c:showLegendKey val="0"/>
          <c:showVal val="0"/>
          <c:showCatName val="0"/>
          <c:showSerName val="0"/>
          <c:showPercent val="0"/>
          <c:showBubbleSize val="0"/>
        </c:dLbls>
        <c:marker val="1"/>
        <c:smooth val="0"/>
        <c:axId val="428319256"/>
        <c:axId val="428324504"/>
      </c:lineChart>
      <c:catAx>
        <c:axId val="4283192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PRS cannabis in quintiles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28324504"/>
        <c:crosses val="autoZero"/>
        <c:auto val="1"/>
        <c:lblAlgn val="ctr"/>
        <c:lblOffset val="100"/>
        <c:noMultiLvlLbl val="0"/>
      </c:catAx>
      <c:valAx>
        <c:axId val="428324504"/>
        <c:scaling>
          <c:orientation val="minMax"/>
          <c:max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Odds Ratio (OR)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283192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Stimulants (total sample)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lineChart>
        <c:grouping val="standard"/>
        <c:varyColors val="0"/>
        <c:ser>
          <c:idx val="0"/>
          <c:order val="0"/>
          <c:spPr>
            <a:ln w="28575" cap="rnd">
              <a:noFill/>
              <a:round/>
            </a:ln>
            <a:effectLst/>
          </c:spPr>
          <c:marker>
            <c:symbol val="square"/>
            <c:size val="6"/>
            <c:spPr>
              <a:solidFill>
                <a:schemeClr val="accent1"/>
              </a:solidFill>
              <a:ln w="9525">
                <a:solidFill>
                  <a:schemeClr val="accent1"/>
                </a:solidFill>
              </a:ln>
              <a:effectLst/>
            </c:spPr>
          </c:marker>
          <c:errBars>
            <c:errDir val="y"/>
            <c:errBarType val="both"/>
            <c:errValType val="cust"/>
            <c:noEndCap val="1"/>
            <c:plus>
              <c:numRef>
                <c:f>Sheet1!$G$54:$G$58</c:f>
                <c:numCache>
                  <c:formatCode>General</c:formatCode>
                  <c:ptCount val="5"/>
                  <c:pt idx="0">
                    <c:v>0</c:v>
                  </c:pt>
                  <c:pt idx="1">
                    <c:v>0.59899999999999998</c:v>
                  </c:pt>
                  <c:pt idx="2">
                    <c:v>0.7430000000000001</c:v>
                  </c:pt>
                  <c:pt idx="3">
                    <c:v>0.80700000000000016</c:v>
                  </c:pt>
                  <c:pt idx="4">
                    <c:v>0.80200000000000027</c:v>
                  </c:pt>
                </c:numCache>
              </c:numRef>
            </c:plus>
            <c:minus>
              <c:numRef>
                <c:f>Sheet1!$F$54:$F$58</c:f>
                <c:numCache>
                  <c:formatCode>General</c:formatCode>
                  <c:ptCount val="5"/>
                  <c:pt idx="0">
                    <c:v>0</c:v>
                  </c:pt>
                  <c:pt idx="1">
                    <c:v>0.40300000000000014</c:v>
                  </c:pt>
                  <c:pt idx="2">
                    <c:v>0.51</c:v>
                  </c:pt>
                  <c:pt idx="3">
                    <c:v>0.55400000000000005</c:v>
                  </c:pt>
                  <c:pt idx="4">
                    <c:v>0.55299999999999994</c:v>
                  </c:pt>
                </c:numCache>
              </c:numRef>
            </c:minus>
            <c:spPr>
              <a:noFill/>
              <a:ln w="9525" cap="flat" cmpd="sng" algn="ctr">
                <a:solidFill>
                  <a:schemeClr val="tx1">
                    <a:lumMod val="65000"/>
                    <a:lumOff val="35000"/>
                  </a:schemeClr>
                </a:solidFill>
                <a:round/>
              </a:ln>
              <a:effectLst/>
            </c:spPr>
          </c:errBars>
          <c:cat>
            <c:strRef>
              <c:f>Sheet1!$D$54:$D$58</c:f>
              <c:strCache>
                <c:ptCount val="5"/>
                <c:pt idx="0">
                  <c:v>&lt;20%</c:v>
                </c:pt>
                <c:pt idx="1">
                  <c:v>20-40%</c:v>
                </c:pt>
                <c:pt idx="2">
                  <c:v>40-60%</c:v>
                </c:pt>
                <c:pt idx="3">
                  <c:v>60-80%</c:v>
                </c:pt>
                <c:pt idx="4">
                  <c:v>&gt;80%</c:v>
                </c:pt>
              </c:strCache>
            </c:strRef>
          </c:cat>
          <c:val>
            <c:numRef>
              <c:f>Sheet1!$E$54:$E$58</c:f>
              <c:numCache>
                <c:formatCode>General</c:formatCode>
                <c:ptCount val="5"/>
                <c:pt idx="0">
                  <c:v>1</c:v>
                </c:pt>
                <c:pt idx="1">
                  <c:v>1.2230000000000001</c:v>
                </c:pt>
                <c:pt idx="2">
                  <c:v>1.619</c:v>
                </c:pt>
                <c:pt idx="3">
                  <c:v>1.768</c:v>
                </c:pt>
                <c:pt idx="4">
                  <c:v>1.7769999999999999</c:v>
                </c:pt>
              </c:numCache>
            </c:numRef>
          </c:val>
          <c:smooth val="0"/>
          <c:extLst>
            <c:ext xmlns:c16="http://schemas.microsoft.com/office/drawing/2014/chart" uri="{C3380CC4-5D6E-409C-BE32-E72D297353CC}">
              <c16:uniqueId val="{00000000-E38C-499F-921F-61B78C2442F1}"/>
            </c:ext>
          </c:extLst>
        </c:ser>
        <c:dLbls>
          <c:showLegendKey val="0"/>
          <c:showVal val="0"/>
          <c:showCatName val="0"/>
          <c:showSerName val="0"/>
          <c:showPercent val="0"/>
          <c:showBubbleSize val="0"/>
        </c:dLbls>
        <c:marker val="1"/>
        <c:smooth val="0"/>
        <c:axId val="428326144"/>
        <c:axId val="428318600"/>
      </c:lineChart>
      <c:catAx>
        <c:axId val="4283261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PRS cannabis in quintiles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28318600"/>
        <c:crosses val="autoZero"/>
        <c:auto val="1"/>
        <c:lblAlgn val="ctr"/>
        <c:lblOffset val="100"/>
        <c:noMultiLvlLbl val="0"/>
      </c:catAx>
      <c:valAx>
        <c:axId val="428318600"/>
        <c:scaling>
          <c:orientation val="minMax"/>
          <c:max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Odds Ratio (OR)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283261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Stimulants (&gt; 1968)</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lineChart>
        <c:grouping val="standard"/>
        <c:varyColors val="0"/>
        <c:ser>
          <c:idx val="0"/>
          <c:order val="0"/>
          <c:spPr>
            <a:ln w="28575" cap="rnd">
              <a:noFill/>
              <a:round/>
            </a:ln>
            <a:effectLst/>
          </c:spPr>
          <c:marker>
            <c:symbol val="square"/>
            <c:size val="6"/>
            <c:spPr>
              <a:solidFill>
                <a:schemeClr val="accent1"/>
              </a:solidFill>
              <a:ln w="9525">
                <a:solidFill>
                  <a:schemeClr val="accent1"/>
                </a:solidFill>
              </a:ln>
              <a:effectLst/>
            </c:spPr>
          </c:marker>
          <c:errBars>
            <c:errDir val="y"/>
            <c:errBarType val="both"/>
            <c:errValType val="cust"/>
            <c:noEndCap val="1"/>
            <c:plus>
              <c:numRef>
                <c:f>Sheet1!$G$39:$G$43</c:f>
                <c:numCache>
                  <c:formatCode>General</c:formatCode>
                  <c:ptCount val="5"/>
                  <c:pt idx="0">
                    <c:v>0</c:v>
                  </c:pt>
                  <c:pt idx="1">
                    <c:v>0.75900000000000012</c:v>
                  </c:pt>
                  <c:pt idx="2">
                    <c:v>1.0569999999999999</c:v>
                  </c:pt>
                  <c:pt idx="3">
                    <c:v>1.0060000000000002</c:v>
                  </c:pt>
                  <c:pt idx="4">
                    <c:v>1.093</c:v>
                  </c:pt>
                </c:numCache>
              </c:numRef>
            </c:plus>
            <c:minus>
              <c:numRef>
                <c:f>Sheet1!$F$39:$F$43</c:f>
                <c:numCache>
                  <c:formatCode>General</c:formatCode>
                  <c:ptCount val="5"/>
                  <c:pt idx="0">
                    <c:v>0</c:v>
                  </c:pt>
                  <c:pt idx="1">
                    <c:v>0.4870000000000001</c:v>
                  </c:pt>
                  <c:pt idx="2">
                    <c:v>0.69700000000000006</c:v>
                  </c:pt>
                  <c:pt idx="3">
                    <c:v>0.66199999999999992</c:v>
                  </c:pt>
                  <c:pt idx="4">
                    <c:v>0.72399999999999998</c:v>
                  </c:pt>
                </c:numCache>
              </c:numRef>
            </c:minus>
            <c:spPr>
              <a:noFill/>
              <a:ln w="9525" cap="flat" cmpd="sng" algn="ctr">
                <a:solidFill>
                  <a:schemeClr val="tx1">
                    <a:lumMod val="65000"/>
                    <a:lumOff val="35000"/>
                  </a:schemeClr>
                </a:solidFill>
                <a:round/>
              </a:ln>
              <a:effectLst/>
            </c:spPr>
          </c:errBars>
          <c:cat>
            <c:strRef>
              <c:f>Sheet1!$D$39:$D$43</c:f>
              <c:strCache>
                <c:ptCount val="5"/>
                <c:pt idx="0">
                  <c:v>&lt;20%</c:v>
                </c:pt>
                <c:pt idx="1">
                  <c:v>20-40%</c:v>
                </c:pt>
                <c:pt idx="2">
                  <c:v>40-60%</c:v>
                </c:pt>
                <c:pt idx="3">
                  <c:v>60-80%</c:v>
                </c:pt>
                <c:pt idx="4">
                  <c:v>&gt;80%</c:v>
                </c:pt>
              </c:strCache>
            </c:strRef>
          </c:cat>
          <c:val>
            <c:numRef>
              <c:f>Sheet1!$E$39:$E$43</c:f>
              <c:numCache>
                <c:formatCode>General</c:formatCode>
                <c:ptCount val="5"/>
                <c:pt idx="0">
                  <c:v>1</c:v>
                </c:pt>
                <c:pt idx="1">
                  <c:v>1.36</c:v>
                </c:pt>
                <c:pt idx="2">
                  <c:v>2.0510000000000002</c:v>
                </c:pt>
                <c:pt idx="3">
                  <c:v>1.9319999999999999</c:v>
                </c:pt>
                <c:pt idx="4">
                  <c:v>2.145</c:v>
                </c:pt>
              </c:numCache>
            </c:numRef>
          </c:val>
          <c:smooth val="0"/>
          <c:extLst>
            <c:ext xmlns:c16="http://schemas.microsoft.com/office/drawing/2014/chart" uri="{C3380CC4-5D6E-409C-BE32-E72D297353CC}">
              <c16:uniqueId val="{00000000-56C4-4850-AEBB-9544D3A42A08}"/>
            </c:ext>
          </c:extLst>
        </c:ser>
        <c:dLbls>
          <c:showLegendKey val="0"/>
          <c:showVal val="0"/>
          <c:showCatName val="0"/>
          <c:showSerName val="0"/>
          <c:showPercent val="0"/>
          <c:showBubbleSize val="0"/>
        </c:dLbls>
        <c:marker val="1"/>
        <c:smooth val="0"/>
        <c:axId val="310604888"/>
        <c:axId val="310615384"/>
      </c:lineChart>
      <c:catAx>
        <c:axId val="3106048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PRS cannabis in quintiles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10615384"/>
        <c:crosses val="autoZero"/>
        <c:auto val="1"/>
        <c:lblAlgn val="ctr"/>
        <c:lblOffset val="100"/>
        <c:noMultiLvlLbl val="0"/>
      </c:catAx>
      <c:valAx>
        <c:axId val="310615384"/>
        <c:scaling>
          <c:orientation val="minMax"/>
          <c:max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Odds Ratio (OR)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106048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Any</a:t>
            </a:r>
            <a:r>
              <a:rPr lang="nl-NL" baseline="0"/>
              <a:t> illicit drugs (total sample)</a:t>
            </a:r>
            <a:endParaRPr lang="nl-N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lineChart>
        <c:grouping val="standard"/>
        <c:varyColors val="0"/>
        <c:ser>
          <c:idx val="0"/>
          <c:order val="0"/>
          <c:spPr>
            <a:ln w="28575" cap="rnd">
              <a:noFill/>
              <a:round/>
            </a:ln>
            <a:effectLst/>
          </c:spPr>
          <c:marker>
            <c:symbol val="square"/>
            <c:size val="6"/>
            <c:spPr>
              <a:solidFill>
                <a:schemeClr val="accent1"/>
              </a:solidFill>
              <a:ln w="9525">
                <a:solidFill>
                  <a:schemeClr val="accent1"/>
                </a:solidFill>
              </a:ln>
              <a:effectLst/>
            </c:spPr>
          </c:marker>
          <c:errBars>
            <c:errDir val="y"/>
            <c:errBarType val="both"/>
            <c:errValType val="cust"/>
            <c:noEndCap val="1"/>
            <c:plus>
              <c:numRef>
                <c:f>Sheet1!$G$23:$G$27</c:f>
                <c:numCache>
                  <c:formatCode>General</c:formatCode>
                  <c:ptCount val="5"/>
                  <c:pt idx="0">
                    <c:v>0</c:v>
                  </c:pt>
                  <c:pt idx="1">
                    <c:v>0.35299999999999998</c:v>
                  </c:pt>
                  <c:pt idx="2">
                    <c:v>0.43099999999999983</c:v>
                  </c:pt>
                  <c:pt idx="3">
                    <c:v>0.4910000000000001</c:v>
                  </c:pt>
                  <c:pt idx="4">
                    <c:v>0.48299999999999987</c:v>
                  </c:pt>
                </c:numCache>
              </c:numRef>
            </c:plus>
            <c:minus>
              <c:numRef>
                <c:f>Sheet1!$F$23:$F$27</c:f>
                <c:numCache>
                  <c:formatCode>General</c:formatCode>
                  <c:ptCount val="5"/>
                  <c:pt idx="0">
                    <c:v>0</c:v>
                  </c:pt>
                  <c:pt idx="1">
                    <c:v>0.26300000000000001</c:v>
                  </c:pt>
                  <c:pt idx="2">
                    <c:v>0.32400000000000007</c:v>
                  </c:pt>
                  <c:pt idx="3">
                    <c:v>0.373</c:v>
                  </c:pt>
                  <c:pt idx="4">
                    <c:v>0.3680000000000001</c:v>
                  </c:pt>
                </c:numCache>
              </c:numRef>
            </c:minus>
            <c:spPr>
              <a:noFill/>
              <a:ln w="9525" cap="flat" cmpd="sng" algn="ctr">
                <a:solidFill>
                  <a:schemeClr val="tx1">
                    <a:lumMod val="65000"/>
                    <a:lumOff val="35000"/>
                  </a:schemeClr>
                </a:solidFill>
                <a:round/>
              </a:ln>
              <a:effectLst/>
            </c:spPr>
          </c:errBars>
          <c:cat>
            <c:strRef>
              <c:f>Sheet1!$D$23:$D$27</c:f>
              <c:strCache>
                <c:ptCount val="5"/>
                <c:pt idx="0">
                  <c:v>&lt;20%</c:v>
                </c:pt>
                <c:pt idx="1">
                  <c:v>20-40%</c:v>
                </c:pt>
                <c:pt idx="2">
                  <c:v>40-60%</c:v>
                </c:pt>
                <c:pt idx="3">
                  <c:v>60-80%</c:v>
                </c:pt>
                <c:pt idx="4">
                  <c:v>&gt;80%</c:v>
                </c:pt>
              </c:strCache>
            </c:strRef>
          </c:cat>
          <c:val>
            <c:numRef>
              <c:f>Sheet1!$E$23:$E$27</c:f>
              <c:numCache>
                <c:formatCode>General</c:formatCode>
                <c:ptCount val="5"/>
                <c:pt idx="0">
                  <c:v>1</c:v>
                </c:pt>
                <c:pt idx="1">
                  <c:v>1.024</c:v>
                </c:pt>
                <c:pt idx="2">
                  <c:v>1.32</c:v>
                </c:pt>
                <c:pt idx="3">
                  <c:v>1.5449999999999999</c:v>
                </c:pt>
                <c:pt idx="4">
                  <c:v>1.538</c:v>
                </c:pt>
              </c:numCache>
            </c:numRef>
          </c:val>
          <c:smooth val="0"/>
          <c:extLst>
            <c:ext xmlns:c16="http://schemas.microsoft.com/office/drawing/2014/chart" uri="{C3380CC4-5D6E-409C-BE32-E72D297353CC}">
              <c16:uniqueId val="{00000000-D48F-4BFF-93F6-75BBF8ABDFDA}"/>
            </c:ext>
          </c:extLst>
        </c:ser>
        <c:dLbls>
          <c:showLegendKey val="0"/>
          <c:showVal val="0"/>
          <c:showCatName val="0"/>
          <c:showSerName val="0"/>
          <c:showPercent val="0"/>
          <c:showBubbleSize val="0"/>
        </c:dLbls>
        <c:marker val="1"/>
        <c:smooth val="0"/>
        <c:axId val="421521584"/>
        <c:axId val="421523880"/>
      </c:lineChart>
      <c:catAx>
        <c:axId val="4215215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PRS cannabis in quintiles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21523880"/>
        <c:crosses val="autoZero"/>
        <c:auto val="1"/>
        <c:lblAlgn val="ctr"/>
        <c:lblOffset val="100"/>
        <c:noMultiLvlLbl val="0"/>
      </c:catAx>
      <c:valAx>
        <c:axId val="421523880"/>
        <c:scaling>
          <c:orientation val="minMax"/>
          <c:max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Odds Ratio (OR)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215215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Any illicit drugs (&gt; 1968)</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lineChart>
        <c:grouping val="standard"/>
        <c:varyColors val="0"/>
        <c:ser>
          <c:idx val="0"/>
          <c:order val="0"/>
          <c:spPr>
            <a:ln w="28575" cap="rnd">
              <a:noFill/>
              <a:round/>
            </a:ln>
            <a:effectLst/>
          </c:spPr>
          <c:marker>
            <c:symbol val="square"/>
            <c:size val="6"/>
            <c:spPr>
              <a:solidFill>
                <a:schemeClr val="accent1"/>
              </a:solidFill>
              <a:ln w="9525">
                <a:solidFill>
                  <a:schemeClr val="accent1"/>
                </a:solidFill>
              </a:ln>
              <a:effectLst/>
            </c:spPr>
          </c:marker>
          <c:errBars>
            <c:errDir val="y"/>
            <c:errBarType val="both"/>
            <c:errValType val="cust"/>
            <c:noEndCap val="1"/>
            <c:plus>
              <c:numRef>
                <c:f>Sheet1!$G$3:$G$7</c:f>
                <c:numCache>
                  <c:formatCode>General</c:formatCode>
                  <c:ptCount val="5"/>
                  <c:pt idx="0">
                    <c:v>0</c:v>
                  </c:pt>
                  <c:pt idx="1">
                    <c:v>0.42699999999999982</c:v>
                  </c:pt>
                  <c:pt idx="2">
                    <c:v>0.57199999999999984</c:v>
                  </c:pt>
                  <c:pt idx="3">
                    <c:v>0.58499999999999974</c:v>
                  </c:pt>
                  <c:pt idx="4">
                    <c:v>0.59800000000000009</c:v>
                  </c:pt>
                </c:numCache>
              </c:numRef>
            </c:plus>
            <c:minus>
              <c:numRef>
                <c:f>Sheet1!$F$3:$F$7</c:f>
                <c:numCache>
                  <c:formatCode>General</c:formatCode>
                  <c:ptCount val="5"/>
                  <c:pt idx="0">
                    <c:v>0</c:v>
                  </c:pt>
                  <c:pt idx="1">
                    <c:v>0.30600000000000005</c:v>
                  </c:pt>
                  <c:pt idx="2">
                    <c:v>0.41799999999999993</c:v>
                  </c:pt>
                  <c:pt idx="3">
                    <c:v>0.42800000000000016</c:v>
                  </c:pt>
                  <c:pt idx="4">
                    <c:v>0.43999999999999995</c:v>
                  </c:pt>
                </c:numCache>
              </c:numRef>
            </c:minus>
            <c:spPr>
              <a:noFill/>
              <a:ln w="9525" cap="flat" cmpd="sng" algn="ctr">
                <a:solidFill>
                  <a:schemeClr val="tx1">
                    <a:lumMod val="65000"/>
                    <a:lumOff val="35000"/>
                  </a:schemeClr>
                </a:solidFill>
                <a:round/>
              </a:ln>
              <a:effectLst/>
            </c:spPr>
          </c:errBars>
          <c:cat>
            <c:strRef>
              <c:f>Sheet1!$D$3:$D$7</c:f>
              <c:strCache>
                <c:ptCount val="5"/>
                <c:pt idx="0">
                  <c:v>&lt;20%</c:v>
                </c:pt>
                <c:pt idx="1">
                  <c:v>20-40%</c:v>
                </c:pt>
                <c:pt idx="2">
                  <c:v>40-60%</c:v>
                </c:pt>
                <c:pt idx="3">
                  <c:v>60-80%</c:v>
                </c:pt>
                <c:pt idx="4">
                  <c:v>&gt;80%</c:v>
                </c:pt>
              </c:strCache>
            </c:strRef>
          </c:cat>
          <c:val>
            <c:numRef>
              <c:f>Sheet1!$E$3:$E$7</c:f>
              <c:numCache>
                <c:formatCode>General</c:formatCode>
                <c:ptCount val="5"/>
                <c:pt idx="0">
                  <c:v>1</c:v>
                </c:pt>
                <c:pt idx="1">
                  <c:v>1.0820000000000001</c:v>
                </c:pt>
                <c:pt idx="2">
                  <c:v>1.5589999999999999</c:v>
                </c:pt>
                <c:pt idx="3">
                  <c:v>1.5980000000000001</c:v>
                </c:pt>
                <c:pt idx="4">
                  <c:v>1.667</c:v>
                </c:pt>
              </c:numCache>
            </c:numRef>
          </c:val>
          <c:smooth val="0"/>
          <c:extLst>
            <c:ext xmlns:c16="http://schemas.microsoft.com/office/drawing/2014/chart" uri="{C3380CC4-5D6E-409C-BE32-E72D297353CC}">
              <c16:uniqueId val="{00000000-F56D-4BE4-952E-1A0AA7A5FB1C}"/>
            </c:ext>
          </c:extLst>
        </c:ser>
        <c:dLbls>
          <c:showLegendKey val="0"/>
          <c:showVal val="0"/>
          <c:showCatName val="0"/>
          <c:showSerName val="0"/>
          <c:showPercent val="0"/>
          <c:showBubbleSize val="0"/>
        </c:dLbls>
        <c:marker val="1"/>
        <c:smooth val="0"/>
        <c:axId val="419944688"/>
        <c:axId val="419943704"/>
      </c:lineChart>
      <c:catAx>
        <c:axId val="4199446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PRS cannabis in quintiles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19943704"/>
        <c:crosses val="autoZero"/>
        <c:auto val="1"/>
        <c:lblAlgn val="ctr"/>
        <c:lblOffset val="100"/>
        <c:noMultiLvlLbl val="0"/>
      </c:catAx>
      <c:valAx>
        <c:axId val="419943704"/>
        <c:scaling>
          <c:orientation val="minMax"/>
          <c:max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Odds Ratio (OR)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4199446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241</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Radboud Universiteit Nijmegen</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 J.M. (Jacqueline)</dc:creator>
  <cp:keywords/>
  <dc:description/>
  <cp:lastModifiedBy>Vink, J.M. (Jacqueline)</cp:lastModifiedBy>
  <cp:revision>4</cp:revision>
  <dcterms:created xsi:type="dcterms:W3CDTF">2020-04-29T09:31:00Z</dcterms:created>
  <dcterms:modified xsi:type="dcterms:W3CDTF">2020-04-29T09:52:00Z</dcterms:modified>
</cp:coreProperties>
</file>