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5FA13" w14:textId="77777777" w:rsidR="00A41483" w:rsidRDefault="00246306" w:rsidP="00A41483">
      <w:pPr>
        <w:pStyle w:val="Kop2"/>
        <w:jc w:val="center"/>
        <w:rPr>
          <w:lang w:val="en-US"/>
        </w:rPr>
      </w:pPr>
      <w:r w:rsidRPr="00246306">
        <w:rPr>
          <w:lang w:val="en-US"/>
        </w:rPr>
        <w:t xml:space="preserve">Appeal of </w:t>
      </w:r>
      <w:proofErr w:type="spellStart"/>
      <w:r w:rsidRPr="00246306">
        <w:rPr>
          <w:lang w:val="en-US"/>
        </w:rPr>
        <w:t>Milieudefensie</w:t>
      </w:r>
      <w:proofErr w:type="spellEnd"/>
      <w:r w:rsidRPr="00246306">
        <w:rPr>
          <w:lang w:val="en-US"/>
        </w:rPr>
        <w:t xml:space="preserve"> v Shell,</w:t>
      </w:r>
      <w:r w:rsidR="002A4102">
        <w:rPr>
          <w:lang w:val="en-US"/>
        </w:rPr>
        <w:t xml:space="preserve"> shifted duty of care and future litigation</w:t>
      </w:r>
    </w:p>
    <w:p w14:paraId="47339080" w14:textId="21815566" w:rsidR="00A41483" w:rsidRPr="00A41483" w:rsidRDefault="00A41483" w:rsidP="00A41483">
      <w:pPr>
        <w:pStyle w:val="Kop2"/>
        <w:rPr>
          <w:lang w:val="en-US"/>
        </w:rPr>
      </w:pPr>
      <w:r w:rsidRPr="00A4148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/>
        </w:rPr>
        <w:t xml:space="preserve">By Piotr </w:t>
      </w:r>
      <w:proofErr w:type="spellStart"/>
      <w:r w:rsidRPr="00A41483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GB"/>
        </w:rPr>
        <w:t>Pukowski</w:t>
      </w:r>
      <w:proofErr w:type="spellEnd"/>
    </w:p>
    <w:p w14:paraId="5BEDC467" w14:textId="2C479D78" w:rsidR="00A41483" w:rsidRDefault="00A41483" w:rsidP="009E661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sectPr w:rsidR="00A41483">
          <w:headerReference w:type="default" r:id="rId7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A293A" wp14:editId="4849C8A3">
                <wp:simplePos x="0" y="0"/>
                <wp:positionH relativeFrom="column">
                  <wp:posOffset>-136525</wp:posOffset>
                </wp:positionH>
                <wp:positionV relativeFrom="paragraph">
                  <wp:posOffset>205740</wp:posOffset>
                </wp:positionV>
                <wp:extent cx="2771775" cy="2743200"/>
                <wp:effectExtent l="0" t="0" r="9525" b="12700"/>
                <wp:wrapSquare wrapText="bothSides"/>
                <wp:docPr id="527981306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743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DA5431" w14:textId="6A67224C" w:rsidR="00A41483" w:rsidRPr="00A41483" w:rsidRDefault="00A41483" w:rsidP="00A41483">
                            <w:pPr>
                              <w:shd w:val="clear" w:color="auto" w:fill="D9D9D9" w:themeFill="background1" w:themeFillShade="D9"/>
                              <w:spacing w:line="360" w:lineRule="auto"/>
                              <w:jc w:val="both"/>
                              <w:rPr>
                                <w:rFonts w:eastAsia="Times New Roman"/>
                                <w:b/>
                                <w:lang w:val="nl-NL"/>
                              </w:rPr>
                            </w:pPr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The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author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of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this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blog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provides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a short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overview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of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the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Judgment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of Shell v Milieudefensie case in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the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Court of Appeal of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the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Hague. The Court found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that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scope 3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emissions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cannot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be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attributed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to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companies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such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as Shell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due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to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a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lack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of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any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‘law’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that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would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force or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incentivise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companies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to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lower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their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scope 3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emissions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.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This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shows a shift of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climate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change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burden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,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from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companies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to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states</w:t>
                            </w:r>
                            <w:proofErr w:type="spellEnd"/>
                            <w:r w:rsidRPr="00A41483">
                              <w:rPr>
                                <w:rFonts w:eastAsia="Times New Roman"/>
                                <w:b/>
                                <w:lang w:val="nl-NL"/>
                              </w:rPr>
                              <w:t>.</w:t>
                            </w:r>
                          </w:p>
                          <w:p w14:paraId="187F73C1" w14:textId="04DCC3BB" w:rsidR="00A41483" w:rsidRPr="001B6020" w:rsidRDefault="00A41483" w:rsidP="00A41483">
                            <w:pPr>
                              <w:shd w:val="clear" w:color="auto" w:fill="D9D9D9" w:themeFill="background1" w:themeFillShade="D9"/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C886E3B" w14:textId="77777777" w:rsidR="00A41483" w:rsidRPr="009E7EE9" w:rsidRDefault="00A41483" w:rsidP="00A41483">
                            <w:pPr>
                              <w:shd w:val="clear" w:color="auto" w:fill="D9D9D9" w:themeFill="background1" w:themeFillShade="D9"/>
                              <w:spacing w:after="200" w:line="36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A293A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10.75pt;margin-top:16.2pt;width:218.25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" fillcolor="#d8d8d8 [2732]" strokeweight=".5pt">
                <v:textbox>
                  <w:txbxContent>
                    <w:p w14:paraId="5ADA5431" w14:textId="6A67224C" w:rsidR="00A41483" w:rsidRPr="00A41483" w:rsidRDefault="00A41483" w:rsidP="00A41483">
                      <w:pPr>
                        <w:shd w:val="clear" w:color="auto" w:fill="D9D9D9" w:themeFill="background1" w:themeFillShade="D9"/>
                        <w:spacing w:line="360" w:lineRule="auto"/>
                        <w:jc w:val="both"/>
                        <w:rPr>
                          <w:rFonts w:eastAsia="Times New Roman"/>
                          <w:b/>
                          <w:lang w:val="nl-NL"/>
                        </w:rPr>
                      </w:pPr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The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author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of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this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blog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provides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a short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overview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of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the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Judgment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of Shell v Milieudefensie case in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the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Court of Appeal of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the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Hague. The Court found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that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scope 3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emissions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cannot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be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attributed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to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companies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such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as Shell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due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to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a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lack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of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any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‘law’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that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would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force or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incentivise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companies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to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lower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their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scope 3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emissions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.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This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shows a shift of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climate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change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burden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,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from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companies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to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 xml:space="preserve"> </w:t>
                      </w:r>
                      <w:proofErr w:type="spellStart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states</w:t>
                      </w:r>
                      <w:proofErr w:type="spellEnd"/>
                      <w:r w:rsidRPr="00A41483">
                        <w:rPr>
                          <w:rFonts w:eastAsia="Times New Roman"/>
                          <w:b/>
                          <w:lang w:val="nl-NL"/>
                        </w:rPr>
                        <w:t>.</w:t>
                      </w:r>
                    </w:p>
                    <w:p w14:paraId="187F73C1" w14:textId="04DCC3BB" w:rsidR="00A41483" w:rsidRPr="001B6020" w:rsidRDefault="00A41483" w:rsidP="00A41483">
                      <w:pPr>
                        <w:shd w:val="clear" w:color="auto" w:fill="D9D9D9" w:themeFill="background1" w:themeFillShade="D9"/>
                        <w:spacing w:line="36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C886E3B" w14:textId="77777777" w:rsidR="00A41483" w:rsidRPr="009E7EE9" w:rsidRDefault="00A41483" w:rsidP="00A41483">
                      <w:pPr>
                        <w:shd w:val="clear" w:color="auto" w:fill="D9D9D9" w:themeFill="background1" w:themeFillShade="D9"/>
                        <w:spacing w:after="200" w:line="36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50D376" w14:textId="77777777" w:rsidR="00A41483" w:rsidRDefault="00A41483" w:rsidP="00A4148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043CE58" w14:textId="5DE8A00C" w:rsidR="00FD0955" w:rsidRPr="00FD0955" w:rsidRDefault="00FD0955" w:rsidP="008A0A2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D0955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Introduction </w:t>
      </w:r>
    </w:p>
    <w:p w14:paraId="5E2E8F14" w14:textId="64C069AC" w:rsidR="00234172" w:rsidRPr="00FD0955" w:rsidRDefault="00246306" w:rsidP="008A0A26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On the 12</w:t>
      </w:r>
      <w:r w:rsidRPr="00FD095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November 2024, the Court of Appeal in the Hague overturned the first instance of the District Court in the Hague judgment between Shell and </w:t>
      </w:r>
      <w:proofErr w:type="spellStart"/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Milieudefensie</w:t>
      </w:r>
      <w:proofErr w:type="spellEnd"/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. The result was met with a wave of disappointment and criticism, however, was the negativity deserved</w:t>
      </w:r>
      <w:r w:rsidR="0087153D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 is there still hope for climate change litigation?</w:t>
      </w:r>
    </w:p>
    <w:p w14:paraId="2E9A03CB" w14:textId="77777777" w:rsidR="00005F57" w:rsidRDefault="00246306" w:rsidP="00A41483">
      <w:pPr>
        <w:spacing w:before="3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Three years </w:t>
      </w:r>
      <w:r w:rsidR="009E6616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ago,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court in the Hague heard the case between a pro-environmental NGO and an oil and gas company, where </w:t>
      </w:r>
      <w:proofErr w:type="spellStart"/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Milieudefensie</w:t>
      </w:r>
      <w:proofErr w:type="spellEnd"/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argued that Shell’s failure to reduce its [scope 1, 2 and 3] emissions </w:t>
      </w:r>
      <w:r w:rsidR="009E6616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violate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human rights.</w:t>
      </w:r>
      <w:r w:rsidR="00003E28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C7C4C56" w14:textId="77777777" w:rsidR="00005F57" w:rsidRDefault="00003E28" w:rsidP="00A41483">
      <w:pPr>
        <w:spacing w:before="36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These three scopes can be </w:t>
      </w:r>
      <w:r w:rsidR="00456EFD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considered as industry standards set by the Greenhouse Gas Protocol.</w:t>
      </w:r>
      <w:r w:rsidR="00246306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379FE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Scope 1 emissions refer to the direct emissions produced and controlled fully by the </w:t>
      </w:r>
      <w:proofErr w:type="spellStart"/>
      <w:r w:rsidR="00B379FE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="00B379FE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such as emissions created during the extraction of fossil fuels. </w:t>
      </w:r>
      <w:r w:rsidR="0067644C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B379FE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cope 2 emissions are indirect emissions coming from the third parties that supplied the </w:t>
      </w:r>
      <w:proofErr w:type="spellStart"/>
      <w:r w:rsidR="00B379FE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="00B379FE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energy or other goods related to emissions. </w:t>
      </w:r>
      <w:r w:rsidR="0035409C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While scope 3 emissions </w:t>
      </w:r>
      <w:r w:rsidR="00017451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refer to emissions that are indirectly connected to the </w:t>
      </w:r>
      <w:proofErr w:type="spellStart"/>
      <w:r w:rsidR="00017451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="00017451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, for example the final combustion of fossil fuels.</w:t>
      </w:r>
      <w:r w:rsidR="00CF24C7" w:rsidRPr="00FD0955">
        <w:rPr>
          <w:rStyle w:val="Voetnootmarkering"/>
          <w:rFonts w:ascii="Times New Roman" w:eastAsia="Times New Roman" w:hAnsi="Times New Roman" w:cs="Times New Roman"/>
          <w:sz w:val="24"/>
          <w:szCs w:val="24"/>
          <w:lang w:val="en-US"/>
        </w:rPr>
        <w:footnoteReference w:id="1"/>
      </w:r>
      <w:r w:rsidR="00017451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46306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In the previous instance the court sided with the claimant and obligated Shell to reduce its scope 1, 2 and 3 emissions.</w:t>
      </w:r>
      <w:r w:rsidR="002D6807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E2E8F16" w14:textId="659050E5" w:rsidR="00234172" w:rsidRDefault="00246306" w:rsidP="00A414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Nevertheless, on the 12</w:t>
      </w:r>
      <w:r w:rsidRPr="00FD095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of November 2024, the Court of Appeal of the Hague took a different stance, overturning the previous judgment.</w:t>
      </w:r>
    </w:p>
    <w:p w14:paraId="2ED925F1" w14:textId="77777777" w:rsidR="00A41483" w:rsidRPr="00FD0955" w:rsidRDefault="00A41483" w:rsidP="00A414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2E8F17" w14:textId="34C050F6" w:rsidR="00234172" w:rsidRPr="00FD0955" w:rsidRDefault="00246306" w:rsidP="00A4148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EU Legislation</w:t>
      </w:r>
    </w:p>
    <w:p w14:paraId="750474C3" w14:textId="77777777" w:rsidR="00005F57" w:rsidRDefault="00246306" w:rsidP="008A0A26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Before continuing it is pivotal to highlight the relevant EU climate change legislation. </w:t>
      </w:r>
      <w:r w:rsidR="002E5AA9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While it is not relevant for the findings of this blog, the Court of Appeal in the Hague used</w:t>
      </w:r>
      <w:r w:rsidR="0012075A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these </w:t>
      </w:r>
      <w:r w:rsidR="00C308A3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12075A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egulations and </w:t>
      </w:r>
      <w:r w:rsidR="00C308A3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12075A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irectives extensively in their judgment. </w:t>
      </w:r>
    </w:p>
    <w:p w14:paraId="189A91FA" w14:textId="7CDED44C" w:rsidR="008A0A26" w:rsidRDefault="00246306" w:rsidP="008A0A26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In 2019 the European Green Deal (EGD) was introduced as a bundle of regulations and directives aimed at fulfilling the Paris Agreement obligations and supporting Member States in achieving their Nationally Determined Contributions (NDCs).</w:t>
      </w:r>
      <w:r w:rsidR="00B551E4" w:rsidRPr="00FD0955">
        <w:rPr>
          <w:rStyle w:val="Voetnootmarkering"/>
          <w:rFonts w:ascii="Times New Roman" w:eastAsia="Times New Roman" w:hAnsi="Times New Roman" w:cs="Times New Roman"/>
          <w:sz w:val="24"/>
          <w:szCs w:val="24"/>
          <w:lang w:val="en-US"/>
        </w:rPr>
        <w:footnoteReference w:id="2"/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original goal of the EGD was a net 55% or greater reduction in emissions below 1990 levels by 2030, and the achievement of total carbon neutrality by 2050.</w:t>
      </w:r>
      <w:r w:rsidR="00B551E4" w:rsidRPr="00FD0955">
        <w:rPr>
          <w:rStyle w:val="Voetnootmarkering"/>
          <w:rFonts w:ascii="Times New Roman" w:eastAsia="Times New Roman" w:hAnsi="Times New Roman" w:cs="Times New Roman"/>
          <w:sz w:val="24"/>
          <w:szCs w:val="24"/>
          <w:lang w:val="en-US"/>
        </w:rPr>
        <w:footnoteReference w:id="3"/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FFC7E52" w14:textId="7112A84E" w:rsidR="003D40DB" w:rsidRPr="00FD0955" w:rsidRDefault="00246306" w:rsidP="008A0A26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This changed with new regulations such as the Emissions Trading System (ETS), the upcoming ETS II, Land Use, Land Use </w:t>
      </w:r>
      <w:r w:rsidR="007B749F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hange, and Forestry Regulation (LULUCF), as well as Efforts Sharing Regulation (ESR). </w:t>
      </w:r>
      <w:r w:rsidR="007B749F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What c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reat</w:t>
      </w:r>
      <w:r w:rsidR="007B749F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ed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new goal 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of 45% emissions reduction below 2019 levels by 2030</w:t>
      </w:r>
      <w:r w:rsidR="00CF24C7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 the EU Member States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E2E8F19" w14:textId="29829957" w:rsidR="00234172" w:rsidRPr="00FD0955" w:rsidRDefault="003D40DB" w:rsidP="00A4148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Dutch Legislation</w:t>
      </w:r>
    </w:p>
    <w:p w14:paraId="5952836D" w14:textId="77777777" w:rsidR="00005F57" w:rsidRDefault="001F7E48" w:rsidP="00A414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According to Dutch </w:t>
      </w:r>
      <w:r w:rsidR="006B54ED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law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whether a private or public party has a duty of care is </w:t>
      </w:r>
      <w:r w:rsidR="00AB212C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assessed 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within </w:t>
      </w:r>
      <w:r w:rsidR="00AB212C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civil law framework. </w:t>
      </w:r>
    </w:p>
    <w:p w14:paraId="14149E25" w14:textId="77777777" w:rsidR="00005F57" w:rsidRDefault="00921AC6" w:rsidP="009E661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When a duty of care is present, is being formed in jurisprudence. </w:t>
      </w:r>
      <w:r w:rsidR="001F7E48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AB212C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provision</w:t>
      </w:r>
      <w:r w:rsidR="001F7E48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‘</w:t>
      </w:r>
      <w:proofErr w:type="spellStart"/>
      <w:r w:rsidR="001F7E48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onrechtmatige</w:t>
      </w:r>
      <w:proofErr w:type="spellEnd"/>
      <w:r w:rsidR="001F7E48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F7E48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daad</w:t>
      </w:r>
      <w:proofErr w:type="spellEnd"/>
      <w:r w:rsidR="001F7E48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’ (in literal </w:t>
      </w:r>
      <w:r w:rsidR="00AB212C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terms of translation</w:t>
      </w:r>
      <w:r w:rsidR="001F7E48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‘unlawful act’) forms the basis for holding a private party or the State accountable due to ‘endangerment’, which may entail an act or an omission. </w:t>
      </w:r>
      <w:r w:rsidR="00A11283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This</w:t>
      </w:r>
      <w:r w:rsidR="00AB212C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provision (article 6:162 Civil Code)</w:t>
      </w:r>
      <w:r w:rsidR="00A11283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includes</w:t>
      </w:r>
      <w:r w:rsidR="00AB212C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residual category called ‘social care’. </w:t>
      </w:r>
    </w:p>
    <w:p w14:paraId="07BD5BCF" w14:textId="77777777" w:rsidR="00005F57" w:rsidRDefault="00AB212C" w:rsidP="009E661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Within this category, many kinds of duties of care for both the government and private parties can be found.</w:t>
      </w:r>
      <w:r w:rsidR="008B7AB8" w:rsidRPr="00FD0955">
        <w:rPr>
          <w:rStyle w:val="Voetnootmarkering"/>
          <w:rFonts w:ascii="Times New Roman" w:eastAsia="Times New Roman" w:hAnsi="Times New Roman" w:cs="Times New Roman"/>
          <w:sz w:val="24"/>
          <w:szCs w:val="24"/>
          <w:lang w:val="en-US"/>
        </w:rPr>
        <w:footnoteReference w:id="4"/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Within the case </w:t>
      </w:r>
      <w:proofErr w:type="spellStart"/>
      <w:r w:rsidRPr="00FD095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Milieudefensie</w:t>
      </w:r>
      <w:proofErr w:type="spellEnd"/>
      <w:r w:rsidRPr="00FD0955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vs. Shell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the District Court based her ruling that Shell had breached its duty of care regarding the protection of the environment, on this provision. </w:t>
      </w:r>
    </w:p>
    <w:p w14:paraId="18DE3029" w14:textId="7603B82C" w:rsidR="001F7E48" w:rsidRDefault="00AB212C" w:rsidP="00A414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Court of Appeals’ judgment differs </w:t>
      </w:r>
      <w:r w:rsidR="008B7AB8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from this first judgment 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r w:rsidR="008B7AB8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outcome but </w:t>
      </w:r>
      <w:r w:rsidR="008B7AB8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shows similarities regarding the verdict that Shell has a duty of care in this instance. This will be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demonstrated in the next paragraph.</w:t>
      </w:r>
    </w:p>
    <w:p w14:paraId="45D64F4B" w14:textId="77777777" w:rsidR="00A41483" w:rsidRPr="00FD0955" w:rsidRDefault="00A41483" w:rsidP="00A414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E2E8F1F" w14:textId="77777777" w:rsidR="00234172" w:rsidRPr="00FD0955" w:rsidRDefault="00246306" w:rsidP="00A4148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Judgment</w:t>
      </w:r>
    </w:p>
    <w:p w14:paraId="3E67702C" w14:textId="77777777" w:rsidR="00005F57" w:rsidRDefault="00246306" w:rsidP="008A0A26">
      <w:p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Human rights form the </w:t>
      </w:r>
      <w:proofErr w:type="spellStart"/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centrepiece</w:t>
      </w:r>
      <w:proofErr w:type="spellEnd"/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this case, as they bridge the duty of care and climate change. </w:t>
      </w:r>
    </w:p>
    <w:p w14:paraId="4087B1B9" w14:textId="32A90231" w:rsidR="00005F57" w:rsidRDefault="00246306" w:rsidP="008A0A26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this regard, the Court of Appeal took the same position </w:t>
      </w:r>
      <w:r w:rsidR="00B7095E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the first instance 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and affirmed that protection against climate change is a human right</w:t>
      </w:r>
      <w:r w:rsidR="008D10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Governments and legislators are compelled to protect such rights from violation, and corporations such as Shell are also subject to the same duty. </w:t>
      </w:r>
    </w:p>
    <w:p w14:paraId="63C415D3" w14:textId="77777777" w:rsidR="00005F57" w:rsidRDefault="00246306" w:rsidP="009E661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Therefore, Shell, as a major contributor to climate change, is obligated to reduce its CO2 emissions. The court further stated that a lack of regulation in the country in which the company </w:t>
      </w:r>
      <w:r w:rsidR="00FD0955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operates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does not amount to a precedent of inaction. </w:t>
      </w:r>
    </w:p>
    <w:p w14:paraId="5E2E8F20" w14:textId="30B9D243" w:rsidR="00234172" w:rsidRPr="00FD0955" w:rsidRDefault="00246306" w:rsidP="009E661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96607D"/>
          <w:sz w:val="24"/>
          <w:szCs w:val="24"/>
          <w:vertAlign w:val="superscript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Thus, the Court of Appeal concluded that companies have a duty of care to reduce their CO2 emissions to certain levels, in this case the one proposed by the EGD.</w:t>
      </w:r>
      <w:r w:rsidR="008A54A5" w:rsidRPr="00FD0955">
        <w:rPr>
          <w:rStyle w:val="Voetnootmarkering"/>
          <w:rFonts w:ascii="Times New Roman" w:eastAsia="Times New Roman" w:hAnsi="Times New Roman" w:cs="Times New Roman"/>
          <w:sz w:val="24"/>
          <w:szCs w:val="24"/>
          <w:lang w:val="en-US"/>
        </w:rPr>
        <w:footnoteReference w:id="5"/>
      </w:r>
    </w:p>
    <w:p w14:paraId="5BE25686" w14:textId="77777777" w:rsidR="00005F57" w:rsidRDefault="00246306" w:rsidP="009E661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Court of Appeal rejected the claimant’s argument and suggested that a violation of the </w:t>
      </w:r>
      <w:r w:rsidR="00FD0955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duty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care is necessary. </w:t>
      </w:r>
    </w:p>
    <w:p w14:paraId="44A11954" w14:textId="77777777" w:rsidR="00005F57" w:rsidRDefault="00246306" w:rsidP="009E661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court ruled no such violation had occurred, since even if Shell’s scope 1 and 2 emissions were </w:t>
      </w:r>
      <w:r w:rsidR="009867B9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above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the EGD target of 45% emission reduction of 2019 levels by 2030, the reduction that Shell attained so far showcased Shell’s ability to achieve the target. </w:t>
      </w:r>
    </w:p>
    <w:p w14:paraId="340EF88A" w14:textId="42128DE3" w:rsidR="00005F57" w:rsidRDefault="00246306" w:rsidP="009E661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Thus, </w:t>
      </w:r>
      <w:r w:rsidR="009867B9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risk of a breach of duty of care </w:t>
      </w:r>
      <w:r w:rsidR="00E45C26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committed by Shell is too low,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45C26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turn Court of Appeal </w:t>
      </w:r>
      <w:r w:rsidR="00CD1A86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the Hague 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denied the claim that Shell had violated scope 1 and 2 emissions targets.</w:t>
      </w:r>
      <w:r w:rsidR="00252509" w:rsidRPr="00FD0955">
        <w:rPr>
          <w:rStyle w:val="Voetnootmarkering"/>
          <w:rFonts w:ascii="Times New Roman" w:eastAsia="Times New Roman" w:hAnsi="Times New Roman" w:cs="Times New Roman"/>
          <w:sz w:val="24"/>
          <w:szCs w:val="24"/>
          <w:lang w:val="en-US"/>
        </w:rPr>
        <w:footnoteReference w:id="6"/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570E30F" w14:textId="77777777" w:rsidR="00005F57" w:rsidRDefault="00246306" w:rsidP="009E6616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Lastly, </w:t>
      </w:r>
      <w:r w:rsidR="00D2327C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Court of Appeal had difficulty </w:t>
      </w:r>
      <w:r w:rsidR="009E36BA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concentrating</w:t>
      </w:r>
      <w:r w:rsidR="00D2327C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9E36BA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on </w:t>
      </w:r>
      <w:r w:rsidR="00D2327C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the arguments</w:t>
      </w:r>
      <w:r w:rsidR="009E36BA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addressing scope 3 emissions. The lack of European Regulations</w:t>
      </w:r>
      <w:r w:rsidR="006D31CB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, Directives or global targets meant that there are no general rules pertaining to the required reduction of scope 3 emissions.</w:t>
      </w:r>
      <w:r w:rsidR="00D2327C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because there is no European regulation, or directive nor any global target that would showcase average required emissions reduction relating to scope 3 emissions. </w:t>
      </w:r>
    </w:p>
    <w:p w14:paraId="2C923DEF" w14:textId="6F72A21B" w:rsidR="00A41483" w:rsidRPr="00A41483" w:rsidRDefault="00246306" w:rsidP="008A0A26">
      <w:pPr>
        <w:spacing w:before="24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r w:rsidR="005F4277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ourt of Appeal</w:t>
      </w:r>
      <w:r w:rsidR="005F4277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held that it did not have the competence to create and impose such globa</w:t>
      </w:r>
      <w:r w:rsidR="007C01B0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l emissions reduction target, particularly if it only bound Shell, which is a singular entity.</w:t>
      </w:r>
      <w:r w:rsidR="008F0335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Since a global emissions reduction target, which targets only one </w:t>
      </w:r>
      <w:proofErr w:type="spellStart"/>
      <w:r w:rsidR="008F0335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="008F0335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would </w:t>
      </w:r>
      <w:r w:rsidR="00DA68D9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be ‘useless’ according </w:t>
      </w:r>
      <w:r w:rsidR="00DA68D9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to the Court of Appeal in the Hague.</w:t>
      </w:r>
      <w:r w:rsidR="007C01B0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 followed therefore that </w:t>
      </w:r>
      <w:r w:rsidR="00451EEE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the Court of Appeal denied t</w:t>
      </w:r>
      <w:r w:rsid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he</w:t>
      </w:r>
      <w:r w:rsidR="00451EEE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scope 3 emissions claim by </w:t>
      </w:r>
      <w:proofErr w:type="spellStart"/>
      <w:r w:rsidR="00451EEE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Milieudefensie</w:t>
      </w:r>
      <w:proofErr w:type="spellEnd"/>
      <w:r w:rsidR="00451EEE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451EEE" w:rsidRPr="00FD0955">
        <w:rPr>
          <w:rStyle w:val="Voetnootmarkering"/>
          <w:rFonts w:ascii="Times New Roman" w:eastAsia="Times New Roman" w:hAnsi="Times New Roman" w:cs="Times New Roman"/>
          <w:sz w:val="24"/>
          <w:szCs w:val="24"/>
          <w:lang w:val="en-US"/>
        </w:rPr>
        <w:footnoteReference w:id="7"/>
      </w:r>
    </w:p>
    <w:p w14:paraId="5E2E8F23" w14:textId="77777777" w:rsidR="00234172" w:rsidRPr="00FD0955" w:rsidRDefault="00246306" w:rsidP="008A0A26">
      <w:pPr>
        <w:spacing w:before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Conclusion</w:t>
      </w:r>
    </w:p>
    <w:p w14:paraId="2D45F38A" w14:textId="77777777" w:rsidR="00005F57" w:rsidRDefault="00DA68D9" w:rsidP="008A0A26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246306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his ruling may be disappointing for many, as it enables Shell to continue its current policy, and closes the door to any current and future claims with similar grounds. </w:t>
      </w:r>
    </w:p>
    <w:p w14:paraId="6AC05A87" w14:textId="77777777" w:rsidR="00005F57" w:rsidRDefault="00246306" w:rsidP="008A0A26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However, there are two distinct principles that the Court of Appeal established in its ruling. </w:t>
      </w:r>
    </w:p>
    <w:p w14:paraId="5BDF7887" w14:textId="77777777" w:rsidR="00005F57" w:rsidRDefault="00246306" w:rsidP="008A0A26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Firstly, </w:t>
      </w:r>
      <w:proofErr w:type="spellStart"/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organisations</w:t>
      </w:r>
      <w:proofErr w:type="spellEnd"/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such as Shell have a duty of care to guarantee human rights, including </w:t>
      </w:r>
      <w:r w:rsidR="00FD0955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protection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against climate change. This obligates companies to reduce their emissions based on the NDCs or any other international targets such as the EGD. </w:t>
      </w:r>
    </w:p>
    <w:p w14:paraId="4B7AF1B1" w14:textId="77777777" w:rsidR="00005F57" w:rsidRDefault="00246306" w:rsidP="008A0A26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Secondly, in their argumentation of scope 3 emissions the Court of </w:t>
      </w:r>
      <w:r w:rsid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FD0955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ppeal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r w:rsidR="00DA68D9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 Hague 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shifted the burden</w:t>
      </w:r>
      <w:r w:rsidR="00A34EB5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duty of care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from companies such as Shell to governments. </w:t>
      </w:r>
      <w:r w:rsidR="00945033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What closes the path of litigation against companies like Shell on grounds of </w:t>
      </w:r>
      <w:r w:rsidR="00321973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breach </w:t>
      </w:r>
      <w:proofErr w:type="spellStart"/>
      <w:r w:rsidR="00321973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fo</w:t>
      </w:r>
      <w:proofErr w:type="spellEnd"/>
      <w:r w:rsidR="00321973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duty of care. While it opens the litigation path against states using the same duty of care</w:t>
      </w:r>
      <w:r w:rsidR="009167E3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, which is violated by states</w:t>
      </w:r>
      <w:r w:rsidR="0051754E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’ inaction to create emissions reductions targets. </w:t>
      </w:r>
    </w:p>
    <w:p w14:paraId="409C3FE0" w14:textId="77777777" w:rsidR="008A0A26" w:rsidRDefault="00246306" w:rsidP="008A0A26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Naturally, some may argue that companies, being the biggest emitters</w:t>
      </w:r>
      <w:r w:rsidR="00534655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CO2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should hold the burden </w:t>
      </w:r>
      <w:r w:rsidR="00534655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to address climate change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reduce their emissions. </w:t>
      </w:r>
    </w:p>
    <w:p w14:paraId="5E2E8F26" w14:textId="56241090" w:rsidR="00234172" w:rsidRPr="00FD0955" w:rsidRDefault="00246306" w:rsidP="008A0A26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Fundamentally, I agree with the court that governments have the power to enact those emissions reduction targets (NDCs</w:t>
      </w:r>
      <w:r w:rsidR="00B25F8F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) and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hold compliance tools against emitting entities. Ultimately, this ruling allows future litigation against states that violate their duty of care by not </w:t>
      </w:r>
      <w:r w:rsidR="00FD0955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reaching or</w:t>
      </w:r>
      <w:r w:rsidR="00B25F8F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creating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emission reduction targets.</w:t>
      </w:r>
    </w:p>
    <w:p w14:paraId="4B948DE4" w14:textId="77777777" w:rsidR="00A41483" w:rsidRDefault="00A41483" w:rsidP="009E6616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sectPr w:rsidR="00A41483" w:rsidSect="00A41483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</w:sectPr>
      </w:pPr>
    </w:p>
    <w:p w14:paraId="27704B9D" w14:textId="77777777" w:rsidR="00005F57" w:rsidRDefault="00005F57" w:rsidP="009E6616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D32736C" w14:textId="77777777" w:rsidR="00A41483" w:rsidRDefault="00A41483" w:rsidP="009E6616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BAEE37F" w14:textId="77777777" w:rsidR="00A41483" w:rsidRDefault="00A41483" w:rsidP="009E6616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59D48D0" w14:textId="77777777" w:rsidR="00A41483" w:rsidRDefault="00A41483" w:rsidP="009E6616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329E6D3" w14:textId="77777777" w:rsidR="00A41483" w:rsidRDefault="00A41483" w:rsidP="009E6616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2F144D3" w14:textId="77777777" w:rsidR="00A41483" w:rsidRDefault="00A41483" w:rsidP="009E6616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E2E8F27" w14:textId="4696EF8A" w:rsidR="00234172" w:rsidRPr="00FD0955" w:rsidRDefault="00246306" w:rsidP="009E6616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Bibliography:</w:t>
      </w:r>
    </w:p>
    <w:p w14:paraId="5E2E8F28" w14:textId="77777777" w:rsidR="00234172" w:rsidRPr="00FD0955" w:rsidRDefault="00246306" w:rsidP="009E6616">
      <w:pPr>
        <w:spacing w:before="360" w:after="36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Primary</w:t>
      </w:r>
    </w:p>
    <w:p w14:paraId="5E2E8F29" w14:textId="375C1099" w:rsidR="00234172" w:rsidRPr="00FD0955" w:rsidRDefault="00246306" w:rsidP="009E6616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Shell Plc. v </w:t>
      </w:r>
      <w:proofErr w:type="spellStart"/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Milieudefensie</w:t>
      </w:r>
      <w:proofErr w:type="spellEnd"/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others [2024] GHDHA 200.302.332/1, [2024] 1 ECLI:</w:t>
      </w:r>
      <w:r w:rsidR="00FD0955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NL: GHDHA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:2024:2099.</w:t>
      </w:r>
    </w:p>
    <w:p w14:paraId="5E2E8F2A" w14:textId="77777777" w:rsidR="00234172" w:rsidRPr="00FD0955" w:rsidRDefault="00246306" w:rsidP="009E6616">
      <w:pPr>
        <w:spacing w:before="360" w:after="36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Secondary</w:t>
      </w:r>
    </w:p>
    <w:p w14:paraId="5E2E8F2B" w14:textId="251DC2F6" w:rsidR="00234172" w:rsidRPr="00FD0955" w:rsidRDefault="00246306" w:rsidP="009E6616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Davies GT, ‘The EU’s Implementation of the Paris Agreement’ in </w:t>
      </w:r>
      <w:r w:rsidRPr="00FD09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Research Handbook on the Law of the Paris </w:t>
      </w:r>
      <w:r w:rsidR="00FD0955" w:rsidRPr="00FD09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Agreement</w:t>
      </w:r>
      <w:r w:rsidR="00FD0955"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Edward Elgar Publishing 2024) &lt;</w:t>
      </w:r>
      <w:hyperlink r:id="rId8">
        <w:r w:rsidRPr="00FD0955">
          <w:rPr>
            <w:rFonts w:ascii="Times New Roman" w:eastAsia="Times New Roman" w:hAnsi="Times New Roman" w:cs="Times New Roman"/>
            <w:color w:val="96607D"/>
            <w:sz w:val="24"/>
            <w:szCs w:val="24"/>
            <w:u w:val="single"/>
            <w:lang w:val="en-US"/>
          </w:rPr>
          <w:t>https://ssrn.com/abstract=4664628</w:t>
        </w:r>
      </w:hyperlink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&gt; accessed 26 Oct 2024.</w:t>
      </w:r>
    </w:p>
    <w:p w14:paraId="5E2E8F2C" w14:textId="77777777" w:rsidR="00234172" w:rsidRPr="00FD0955" w:rsidRDefault="00246306" w:rsidP="009E6616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Skjærseth</w:t>
      </w:r>
      <w:proofErr w:type="spellEnd"/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JB, ‘Toward a European Green Deal: The evolution of EU climate and energy policy mixes’ (2021) 21 International Environmental Agreements: Politics, Law and Economics 25 &lt;</w:t>
      </w:r>
      <w:hyperlink r:id="rId9">
        <w:r w:rsidRPr="00FD0955">
          <w:rPr>
            <w:rFonts w:ascii="Times New Roman" w:eastAsia="Times New Roman" w:hAnsi="Times New Roman" w:cs="Times New Roman"/>
            <w:color w:val="96607D"/>
            <w:sz w:val="24"/>
            <w:szCs w:val="24"/>
            <w:u w:val="single"/>
            <w:lang w:val="en-US"/>
          </w:rPr>
          <w:t>https://doi.org/10.1007/s10784-021-09529-4</w:t>
        </w:r>
      </w:hyperlink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&gt; accessed 26 Oct 2024.</w:t>
      </w:r>
    </w:p>
    <w:p w14:paraId="5E2E8F2D" w14:textId="77777777" w:rsidR="00234172" w:rsidRPr="00FD0955" w:rsidRDefault="00246306" w:rsidP="009E6616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Teske S Nagrath K Niklas S Talwar S Atherton A Guerro Orbe J Assaf J </w:t>
      </w:r>
      <w:proofErr w:type="spellStart"/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Giurco</w:t>
      </w:r>
      <w:proofErr w:type="spellEnd"/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D, ‘Scopes 1, 2, and 3 Industry Emissions and Future Pathways’ in </w:t>
      </w:r>
      <w:r w:rsidRPr="00FD09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Achieving the Paris Climate Agreement Goals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(Springer 2022) &lt;</w:t>
      </w:r>
      <w:hyperlink r:id="rId10">
        <w:r w:rsidRPr="00FD0955">
          <w:rPr>
            <w:rFonts w:ascii="Times New Roman" w:eastAsia="Times New Roman" w:hAnsi="Times New Roman" w:cs="Times New Roman"/>
            <w:color w:val="96607D"/>
            <w:sz w:val="24"/>
            <w:szCs w:val="24"/>
            <w:u w:val="single"/>
            <w:lang w:val="en-US"/>
          </w:rPr>
          <w:t>https://doi.org/10.1007/978-3-030-99177-7_13</w:t>
        </w:r>
      </w:hyperlink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>&gt; accessed 15 Nov 2024.</w:t>
      </w:r>
    </w:p>
    <w:p w14:paraId="5E2E8F3A" w14:textId="72354ABE" w:rsidR="00234172" w:rsidRPr="00B25F8F" w:rsidRDefault="00246306" w:rsidP="009E6616">
      <w:pPr>
        <w:spacing w:before="120" w:after="120" w:line="360" w:lineRule="auto"/>
        <w:rPr>
          <w:rFonts w:ascii="Times New Roman" w:eastAsia="Times New Roman" w:hAnsi="Times New Roman" w:cs="Times New Roman"/>
          <w:lang w:val="en-US"/>
        </w:rPr>
      </w:pP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Wendler F, ‘Climate Change Policy in the EU: From the Paris Agreement to the European Green Deal’ in </w:t>
      </w:r>
      <w:r w:rsidRPr="00FD0955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Framing Climate Change in the EU and US after the Paris Agreement</w:t>
      </w:r>
      <w:r w:rsidRPr="00FD09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(Palgrave Macmillan 2022) &lt;</w:t>
      </w:r>
      <w:hyperlink r:id="rId11">
        <w:r w:rsidRPr="00FD0955">
          <w:rPr>
            <w:rFonts w:ascii="Times New Roman" w:eastAsia="Times New Roman" w:hAnsi="Times New Roman" w:cs="Times New Roman"/>
            <w:color w:val="96607D"/>
            <w:sz w:val="24"/>
            <w:szCs w:val="24"/>
            <w:u w:val="single"/>
            <w:lang w:val="en-US"/>
          </w:rPr>
          <w:t>https://doi.org/10.1007/978-3-031-04059-7_3</w:t>
        </w:r>
      </w:hyperlink>
      <w:r w:rsidRPr="00246306">
        <w:rPr>
          <w:rFonts w:ascii="Times New Roman" w:eastAsia="Times New Roman" w:hAnsi="Times New Roman" w:cs="Times New Roman"/>
          <w:lang w:val="en-US"/>
        </w:rPr>
        <w:t>&gt; accessed 26 Oct 2024.</w:t>
      </w:r>
    </w:p>
    <w:sectPr w:rsidR="00234172" w:rsidRPr="00B25F8F" w:rsidSect="00A41483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D42E0" w14:textId="77777777" w:rsidR="004533F6" w:rsidRDefault="004533F6" w:rsidP="00CF24C7">
      <w:pPr>
        <w:spacing w:line="240" w:lineRule="auto"/>
      </w:pPr>
      <w:r>
        <w:separator/>
      </w:r>
    </w:p>
  </w:endnote>
  <w:endnote w:type="continuationSeparator" w:id="0">
    <w:p w14:paraId="6366DB9B" w14:textId="77777777" w:rsidR="004533F6" w:rsidRDefault="004533F6" w:rsidP="00CF2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16D23" w14:textId="77777777" w:rsidR="004533F6" w:rsidRDefault="004533F6" w:rsidP="00CF24C7">
      <w:pPr>
        <w:spacing w:line="240" w:lineRule="auto"/>
      </w:pPr>
      <w:r>
        <w:separator/>
      </w:r>
    </w:p>
  </w:footnote>
  <w:footnote w:type="continuationSeparator" w:id="0">
    <w:p w14:paraId="0607399B" w14:textId="77777777" w:rsidR="004533F6" w:rsidRDefault="004533F6" w:rsidP="00CF24C7">
      <w:pPr>
        <w:spacing w:line="240" w:lineRule="auto"/>
      </w:pPr>
      <w:r>
        <w:continuationSeparator/>
      </w:r>
    </w:p>
  </w:footnote>
  <w:footnote w:id="1">
    <w:p w14:paraId="65B300D1" w14:textId="5B2DE162" w:rsidR="00CF24C7" w:rsidRPr="00CF24C7" w:rsidRDefault="00CF24C7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CF24C7">
        <w:rPr>
          <w:lang w:val="en-US"/>
        </w:rPr>
        <w:t xml:space="preserve"> </w:t>
      </w:r>
      <w:r w:rsidRPr="00246306">
        <w:rPr>
          <w:lang w:val="en-US"/>
        </w:rPr>
        <w:t xml:space="preserve">Sven Teske et al, ‘Scopes 1, 2, and 3 Industry Emissions and Future Pathways’ in </w:t>
      </w:r>
      <w:r w:rsidRPr="00246306">
        <w:rPr>
          <w:i/>
          <w:lang w:val="en-US"/>
        </w:rPr>
        <w:t>Achieving the Paris Climate Agreement Goals</w:t>
      </w:r>
      <w:r w:rsidRPr="00246306">
        <w:rPr>
          <w:lang w:val="en-US"/>
        </w:rPr>
        <w:t>(Springer 2022) &lt;</w:t>
      </w:r>
      <w:hyperlink r:id="rId1">
        <w:r w:rsidRPr="00246306">
          <w:rPr>
            <w:color w:val="96607D"/>
            <w:u w:val="single"/>
            <w:lang w:val="en-US"/>
          </w:rPr>
          <w:t>https://doi.org/10.1007/978-3-030-99177-7_13</w:t>
        </w:r>
      </w:hyperlink>
      <w:r w:rsidRPr="00246306">
        <w:rPr>
          <w:lang w:val="en-US"/>
        </w:rPr>
        <w:t>&gt; accessed 15 Nov 2024.</w:t>
      </w:r>
    </w:p>
  </w:footnote>
  <w:footnote w:id="2">
    <w:p w14:paraId="2F5EE3E4" w14:textId="3446FDE7" w:rsidR="00B551E4" w:rsidRPr="00B551E4" w:rsidRDefault="00B551E4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B551E4">
        <w:rPr>
          <w:lang w:val="en-US"/>
        </w:rPr>
        <w:t xml:space="preserve"> </w:t>
      </w:r>
      <w:r w:rsidRPr="00246306">
        <w:rPr>
          <w:lang w:val="en-US"/>
        </w:rPr>
        <w:t xml:space="preserve">Gareth T. Davies, ‘The EU’s Implementation of the Paris Agreement’ in </w:t>
      </w:r>
      <w:r w:rsidRPr="00246306">
        <w:rPr>
          <w:i/>
          <w:lang w:val="en-US"/>
        </w:rPr>
        <w:t>Research Handbook on the Law of</w:t>
      </w:r>
      <w:r>
        <w:rPr>
          <w:i/>
          <w:lang w:val="en-US"/>
        </w:rPr>
        <w:t xml:space="preserve"> </w:t>
      </w:r>
      <w:r w:rsidRPr="00246306">
        <w:rPr>
          <w:i/>
          <w:lang w:val="en-US"/>
        </w:rPr>
        <w:t>the Paris Agreement</w:t>
      </w:r>
      <w:r w:rsidRPr="00246306">
        <w:rPr>
          <w:lang w:val="en-US"/>
        </w:rPr>
        <w:t xml:space="preserve"> (Edward Elgar Publishing 2024) &lt;</w:t>
      </w:r>
      <w:hyperlink r:id="rId2">
        <w:r w:rsidRPr="00246306">
          <w:rPr>
            <w:color w:val="96607D"/>
            <w:u w:val="single"/>
            <w:lang w:val="en-US"/>
          </w:rPr>
          <w:t>https://ssrn.com/abstract=4664628</w:t>
        </w:r>
      </w:hyperlink>
      <w:r w:rsidRPr="00246306">
        <w:rPr>
          <w:lang w:val="en-US"/>
        </w:rPr>
        <w:t xml:space="preserve">&gt; accessed 15 Nov 2024; Frank Wendler, ‘Climate Change Policy in the EU: From the Paris Agreement to the European Green Deal’ in </w:t>
      </w:r>
      <w:r w:rsidRPr="00246306">
        <w:rPr>
          <w:i/>
          <w:lang w:val="en-US"/>
        </w:rPr>
        <w:t>Framing Climate Change in the EU and US after the Paris Agreement</w:t>
      </w:r>
      <w:r w:rsidRPr="00246306">
        <w:rPr>
          <w:lang w:val="en-US"/>
        </w:rPr>
        <w:t xml:space="preserve"> (Palgrave Macmillan 2022) &lt;</w:t>
      </w:r>
      <w:hyperlink r:id="rId3">
        <w:r w:rsidRPr="00246306">
          <w:rPr>
            <w:color w:val="96607D"/>
            <w:u w:val="single"/>
            <w:lang w:val="en-US"/>
          </w:rPr>
          <w:t>https://doi.org/10.1007/978-3-031-04059-7_3</w:t>
        </w:r>
      </w:hyperlink>
      <w:r w:rsidRPr="00246306">
        <w:rPr>
          <w:lang w:val="en-US"/>
        </w:rPr>
        <w:t xml:space="preserve">&gt; accessed 15 Nov 2024; Jon Birger </w:t>
      </w:r>
      <w:proofErr w:type="spellStart"/>
      <w:r w:rsidRPr="00246306">
        <w:rPr>
          <w:lang w:val="en-US"/>
        </w:rPr>
        <w:t>Skjærseth</w:t>
      </w:r>
      <w:proofErr w:type="spellEnd"/>
      <w:r w:rsidRPr="00246306">
        <w:rPr>
          <w:lang w:val="en-US"/>
        </w:rPr>
        <w:t>, ‘Toward a European Green Deal: The evolution of EU climate and energy policy mixes’ (2021) 21 International Environmental Agreements: Politics, Law and Economics 25 &lt;</w:t>
      </w:r>
      <w:hyperlink r:id="rId4">
        <w:r w:rsidRPr="00246306">
          <w:rPr>
            <w:color w:val="96607D"/>
            <w:u w:val="single"/>
            <w:lang w:val="en-US"/>
          </w:rPr>
          <w:t>https://doi.org/10.1007/s10784-021-09529-4</w:t>
        </w:r>
      </w:hyperlink>
      <w:r w:rsidRPr="00246306">
        <w:rPr>
          <w:lang w:val="en-US"/>
        </w:rPr>
        <w:t>&gt; accessed 15 Nov 2024.</w:t>
      </w:r>
    </w:p>
  </w:footnote>
  <w:footnote w:id="3">
    <w:p w14:paraId="6F5DAB73" w14:textId="227373E5" w:rsidR="00B551E4" w:rsidRPr="00B551E4" w:rsidRDefault="00B551E4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B551E4">
        <w:rPr>
          <w:lang w:val="en-US"/>
        </w:rPr>
        <w:t xml:space="preserve"> </w:t>
      </w:r>
      <w:r>
        <w:rPr>
          <w:lang w:val="en-US"/>
        </w:rPr>
        <w:t>Ibid.</w:t>
      </w:r>
    </w:p>
  </w:footnote>
  <w:footnote w:id="4">
    <w:p w14:paraId="0F5FDF40" w14:textId="1D3492B0" w:rsidR="008B7AB8" w:rsidRPr="00FD74F1" w:rsidRDefault="008B7AB8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FD74F1">
        <w:rPr>
          <w:lang w:val="en-US"/>
        </w:rPr>
        <w:t xml:space="preserve"> </w:t>
      </w:r>
      <w:r w:rsidR="00FD74F1" w:rsidRPr="00FD74F1">
        <w:rPr>
          <w:lang w:val="en-US"/>
        </w:rPr>
        <w:t xml:space="preserve">S.D. </w:t>
      </w:r>
      <w:proofErr w:type="spellStart"/>
      <w:r w:rsidR="00FD74F1" w:rsidRPr="00FD74F1">
        <w:rPr>
          <w:lang w:val="en-US"/>
        </w:rPr>
        <w:t>Lindenbergh</w:t>
      </w:r>
      <w:proofErr w:type="spellEnd"/>
      <w:r w:rsidR="00FD74F1" w:rsidRPr="00FD74F1">
        <w:rPr>
          <w:lang w:val="en-US"/>
        </w:rPr>
        <w:t xml:space="preserve">, T&amp;C BW, </w:t>
      </w:r>
      <w:proofErr w:type="spellStart"/>
      <w:r w:rsidR="00FD74F1" w:rsidRPr="00FD74F1">
        <w:rPr>
          <w:lang w:val="en-US"/>
        </w:rPr>
        <w:t>commentaar</w:t>
      </w:r>
      <w:proofErr w:type="spellEnd"/>
      <w:r w:rsidR="00FD74F1" w:rsidRPr="00FD74F1">
        <w:rPr>
          <w:lang w:val="en-US"/>
        </w:rPr>
        <w:t xml:space="preserve"> op art. 6:162 BW, 6 under d.</w:t>
      </w:r>
      <w:r w:rsidR="00FD74F1">
        <w:rPr>
          <w:lang w:val="en-US"/>
        </w:rPr>
        <w:t xml:space="preserve"> </w:t>
      </w:r>
    </w:p>
  </w:footnote>
  <w:footnote w:id="5">
    <w:p w14:paraId="20C1C12E" w14:textId="7E15807E" w:rsidR="008A54A5" w:rsidRPr="008A54A5" w:rsidRDefault="008A54A5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8A54A5">
        <w:rPr>
          <w:lang w:val="en-US"/>
        </w:rPr>
        <w:t xml:space="preserve"> </w:t>
      </w:r>
      <w:r w:rsidRPr="00246306">
        <w:rPr>
          <w:i/>
          <w:lang w:val="en-US"/>
        </w:rPr>
        <w:t xml:space="preserve">Shell Plc. v </w:t>
      </w:r>
      <w:proofErr w:type="spellStart"/>
      <w:r w:rsidRPr="00246306">
        <w:rPr>
          <w:i/>
          <w:lang w:val="en-US"/>
        </w:rPr>
        <w:t>Milieudefensie</w:t>
      </w:r>
      <w:proofErr w:type="spellEnd"/>
      <w:r w:rsidRPr="00246306">
        <w:rPr>
          <w:i/>
          <w:lang w:val="en-US"/>
        </w:rPr>
        <w:t xml:space="preserve"> and others</w:t>
      </w:r>
      <w:r w:rsidRPr="00246306">
        <w:rPr>
          <w:lang w:val="en-US"/>
        </w:rPr>
        <w:t xml:space="preserve"> [2024] GHDHA 200.302.332/1, [2024] 1 ECLI:</w:t>
      </w:r>
      <w:proofErr w:type="gramStart"/>
      <w:r w:rsidRPr="00246306">
        <w:rPr>
          <w:lang w:val="en-US"/>
        </w:rPr>
        <w:t>NL:GHDHA</w:t>
      </w:r>
      <w:proofErr w:type="gramEnd"/>
      <w:r w:rsidRPr="00246306">
        <w:rPr>
          <w:lang w:val="en-US"/>
        </w:rPr>
        <w:t>:2024:2099 [7.6] – [7.55].</w:t>
      </w:r>
    </w:p>
  </w:footnote>
  <w:footnote w:id="6">
    <w:p w14:paraId="18A91F68" w14:textId="6DD989FF" w:rsidR="00252509" w:rsidRPr="00252509" w:rsidRDefault="00252509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252509">
        <w:rPr>
          <w:lang w:val="en-US"/>
        </w:rPr>
        <w:t xml:space="preserve"> </w:t>
      </w:r>
      <w:r w:rsidRPr="00246306">
        <w:rPr>
          <w:i/>
          <w:lang w:val="en-US"/>
        </w:rPr>
        <w:t xml:space="preserve">Shell Plc. v </w:t>
      </w:r>
      <w:proofErr w:type="spellStart"/>
      <w:r w:rsidRPr="00246306">
        <w:rPr>
          <w:i/>
          <w:lang w:val="en-US"/>
        </w:rPr>
        <w:t>Milieudefensie</w:t>
      </w:r>
      <w:proofErr w:type="spellEnd"/>
      <w:r w:rsidRPr="00246306">
        <w:rPr>
          <w:i/>
          <w:lang w:val="en-US"/>
        </w:rPr>
        <w:t xml:space="preserve"> and others</w:t>
      </w:r>
      <w:r w:rsidRPr="00246306">
        <w:rPr>
          <w:lang w:val="en-US"/>
        </w:rPr>
        <w:t xml:space="preserve"> [2024] GHDHA 200.302.332/1, [2024] 1 ECLI:</w:t>
      </w:r>
      <w:proofErr w:type="gramStart"/>
      <w:r w:rsidRPr="00246306">
        <w:rPr>
          <w:lang w:val="en-US"/>
        </w:rPr>
        <w:t>NL:GHDHA</w:t>
      </w:r>
      <w:proofErr w:type="gramEnd"/>
      <w:r w:rsidRPr="00246306">
        <w:rPr>
          <w:lang w:val="en-US"/>
        </w:rPr>
        <w:t>:2024:2099 [7.63] – [7.66].</w:t>
      </w:r>
    </w:p>
  </w:footnote>
  <w:footnote w:id="7">
    <w:p w14:paraId="3E15887B" w14:textId="67168C2B" w:rsidR="00451EEE" w:rsidRPr="00451EEE" w:rsidRDefault="00451EEE" w:rsidP="00451EEE">
      <w:pPr>
        <w:rPr>
          <w:sz w:val="20"/>
          <w:szCs w:val="20"/>
          <w:lang w:val="en-US"/>
        </w:rPr>
      </w:pPr>
      <w:r>
        <w:rPr>
          <w:rStyle w:val="Voetnootmarkering"/>
        </w:rPr>
        <w:footnoteRef/>
      </w:r>
      <w:r w:rsidRPr="00451EEE">
        <w:rPr>
          <w:lang w:val="en-US"/>
        </w:rPr>
        <w:t xml:space="preserve"> </w:t>
      </w:r>
      <w:r w:rsidRPr="00246306">
        <w:rPr>
          <w:i/>
          <w:sz w:val="20"/>
          <w:szCs w:val="20"/>
          <w:lang w:val="en-US"/>
        </w:rPr>
        <w:t xml:space="preserve">Shell Plc. v </w:t>
      </w:r>
      <w:proofErr w:type="spellStart"/>
      <w:r w:rsidRPr="00246306">
        <w:rPr>
          <w:i/>
          <w:sz w:val="20"/>
          <w:szCs w:val="20"/>
          <w:lang w:val="en-US"/>
        </w:rPr>
        <w:t>Milieudefensie</w:t>
      </w:r>
      <w:proofErr w:type="spellEnd"/>
      <w:r w:rsidRPr="00246306">
        <w:rPr>
          <w:i/>
          <w:sz w:val="20"/>
          <w:szCs w:val="20"/>
          <w:lang w:val="en-US"/>
        </w:rPr>
        <w:t xml:space="preserve"> and others</w:t>
      </w:r>
      <w:r w:rsidRPr="00246306">
        <w:rPr>
          <w:sz w:val="20"/>
          <w:szCs w:val="20"/>
          <w:lang w:val="en-US"/>
        </w:rPr>
        <w:t xml:space="preserve"> [2024] GHDHA 200.302.332/1, [2024] 1 ECLI:</w:t>
      </w:r>
      <w:proofErr w:type="gramStart"/>
      <w:r w:rsidRPr="00246306">
        <w:rPr>
          <w:sz w:val="20"/>
          <w:szCs w:val="20"/>
          <w:lang w:val="en-US"/>
        </w:rPr>
        <w:t>NL:GHDHA</w:t>
      </w:r>
      <w:proofErr w:type="gramEnd"/>
      <w:r w:rsidRPr="00246306">
        <w:rPr>
          <w:sz w:val="20"/>
          <w:szCs w:val="20"/>
          <w:lang w:val="en-US"/>
        </w:rPr>
        <w:t>:2024:2099 [7.67] – [7.111].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C824C" w14:textId="14858C3E" w:rsidR="00A41483" w:rsidRDefault="00A41483">
    <w:pPr>
      <w:pStyle w:val="Koptekst"/>
    </w:pPr>
    <w:r w:rsidRPr="0064644A">
      <w:rPr>
        <w:rFonts w:ascii="Times New Roman" w:hAnsi="Times New Roman" w:cs="Times New Roman"/>
        <w:noProof/>
        <w:sz w:val="24"/>
        <w:szCs w:val="24"/>
      </w:rPr>
      <w:drawing>
        <wp:anchor distT="114300" distB="114300" distL="114300" distR="114300" simplePos="0" relativeHeight="251659264" behindDoc="1" locked="0" layoutInCell="1" hidden="0" allowOverlap="1" wp14:anchorId="6261D20E" wp14:editId="5AF06F51">
          <wp:simplePos x="0" y="0"/>
          <wp:positionH relativeFrom="column">
            <wp:posOffset>4017523</wp:posOffset>
          </wp:positionH>
          <wp:positionV relativeFrom="paragraph">
            <wp:posOffset>-362356</wp:posOffset>
          </wp:positionV>
          <wp:extent cx="2583260" cy="807395"/>
          <wp:effectExtent l="0" t="0" r="0" b="5715"/>
          <wp:wrapNone/>
          <wp:docPr id="498535437" name="image1.png" descr="Afbeelding met tekst, Lettertype, logo, Graphics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fbeelding met tekst, Lettertype, logo, Graphics&#10;&#10;Automatisch gegenereerde beschrijv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3260" cy="80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172"/>
    <w:rsid w:val="00003E28"/>
    <w:rsid w:val="00005F57"/>
    <w:rsid w:val="00017451"/>
    <w:rsid w:val="0005612A"/>
    <w:rsid w:val="00095CB3"/>
    <w:rsid w:val="000A6C80"/>
    <w:rsid w:val="0012075A"/>
    <w:rsid w:val="0016770F"/>
    <w:rsid w:val="001E409D"/>
    <w:rsid w:val="001E5819"/>
    <w:rsid w:val="001F7E48"/>
    <w:rsid w:val="00234172"/>
    <w:rsid w:val="00246306"/>
    <w:rsid w:val="00251E0C"/>
    <w:rsid w:val="00252509"/>
    <w:rsid w:val="0027151C"/>
    <w:rsid w:val="002A4102"/>
    <w:rsid w:val="002D6807"/>
    <w:rsid w:val="002E5AA9"/>
    <w:rsid w:val="00307FDE"/>
    <w:rsid w:val="00321973"/>
    <w:rsid w:val="00351185"/>
    <w:rsid w:val="0035409C"/>
    <w:rsid w:val="00375EF8"/>
    <w:rsid w:val="003D40DB"/>
    <w:rsid w:val="00451EEE"/>
    <w:rsid w:val="004533F6"/>
    <w:rsid w:val="00456EFD"/>
    <w:rsid w:val="00513231"/>
    <w:rsid w:val="0051754E"/>
    <w:rsid w:val="00534655"/>
    <w:rsid w:val="0054109F"/>
    <w:rsid w:val="005552B6"/>
    <w:rsid w:val="005F4277"/>
    <w:rsid w:val="00656EBC"/>
    <w:rsid w:val="0067644C"/>
    <w:rsid w:val="006A566A"/>
    <w:rsid w:val="006B54ED"/>
    <w:rsid w:val="006C62AA"/>
    <w:rsid w:val="006D31CB"/>
    <w:rsid w:val="007135E8"/>
    <w:rsid w:val="007B749F"/>
    <w:rsid w:val="007C01B0"/>
    <w:rsid w:val="0087153D"/>
    <w:rsid w:val="00874BA2"/>
    <w:rsid w:val="008A0A26"/>
    <w:rsid w:val="008A54A5"/>
    <w:rsid w:val="008B7AB8"/>
    <w:rsid w:val="008D1058"/>
    <w:rsid w:val="008D631E"/>
    <w:rsid w:val="008F0335"/>
    <w:rsid w:val="009167E3"/>
    <w:rsid w:val="00921AC6"/>
    <w:rsid w:val="00925644"/>
    <w:rsid w:val="00944010"/>
    <w:rsid w:val="00945033"/>
    <w:rsid w:val="00966F97"/>
    <w:rsid w:val="00976CD6"/>
    <w:rsid w:val="009867B9"/>
    <w:rsid w:val="009E36BA"/>
    <w:rsid w:val="009E6616"/>
    <w:rsid w:val="00A11283"/>
    <w:rsid w:val="00A263D2"/>
    <w:rsid w:val="00A34EB5"/>
    <w:rsid w:val="00A41483"/>
    <w:rsid w:val="00A5237C"/>
    <w:rsid w:val="00AA116A"/>
    <w:rsid w:val="00AB212C"/>
    <w:rsid w:val="00AB5A80"/>
    <w:rsid w:val="00B25F8F"/>
    <w:rsid w:val="00B3122F"/>
    <w:rsid w:val="00B379FE"/>
    <w:rsid w:val="00B551E4"/>
    <w:rsid w:val="00B7095E"/>
    <w:rsid w:val="00B83378"/>
    <w:rsid w:val="00BA6C40"/>
    <w:rsid w:val="00C308A3"/>
    <w:rsid w:val="00C44DB5"/>
    <w:rsid w:val="00CD1A86"/>
    <w:rsid w:val="00CF24C7"/>
    <w:rsid w:val="00D2327C"/>
    <w:rsid w:val="00DA68D9"/>
    <w:rsid w:val="00E1409D"/>
    <w:rsid w:val="00E45C26"/>
    <w:rsid w:val="00F42294"/>
    <w:rsid w:val="00FC13A6"/>
    <w:rsid w:val="00FD0955"/>
    <w:rsid w:val="00FD2617"/>
    <w:rsid w:val="00FD74F1"/>
    <w:rsid w:val="00FE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8F13"/>
  <w15:docId w15:val="{B4DE8EA3-3B85-1B44-A706-03C0BE99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F24C7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F24C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F24C7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A4148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1483"/>
  </w:style>
  <w:style w:type="paragraph" w:styleId="Voettekst">
    <w:name w:val="footer"/>
    <w:basedOn w:val="Standaard"/>
    <w:link w:val="VoettekstChar"/>
    <w:uiPriority w:val="99"/>
    <w:unhideWhenUsed/>
    <w:rsid w:val="00A414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1483"/>
  </w:style>
  <w:style w:type="paragraph" w:styleId="Normaalweb">
    <w:name w:val="Normal (Web)"/>
    <w:basedOn w:val="Standaard"/>
    <w:uiPriority w:val="99"/>
    <w:semiHidden/>
    <w:unhideWhenUsed/>
    <w:rsid w:val="00A414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22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rn.com/abstract=46646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007/978-3-031-04059-7_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i.org/10.1007/978-3-030-99177-7_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7/s10784-021-09529-4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i.org/10.1007/978-3-031-04059-7_3" TargetMode="External"/><Relationship Id="rId2" Type="http://schemas.openxmlformats.org/officeDocument/2006/relationships/hyperlink" Target="https://ssrn.com/abstract=4664628" TargetMode="External"/><Relationship Id="rId1" Type="http://schemas.openxmlformats.org/officeDocument/2006/relationships/hyperlink" Target="https://doi.org/10.1007/978-3-030-99177-7_13" TargetMode="External"/><Relationship Id="rId4" Type="http://schemas.openxmlformats.org/officeDocument/2006/relationships/hyperlink" Target="https://doi.org/10.1007/s10784-021-09529-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A78413-8428-C04E-81D9-A1476E23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1314</Words>
  <Characters>7227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Xhulia Tepshi</dc:creator>
  <cp:lastModifiedBy>Özkul, S. (Senem)</cp:lastModifiedBy>
  <cp:revision>2</cp:revision>
  <dcterms:created xsi:type="dcterms:W3CDTF">2025-03-06T09:21:00Z</dcterms:created>
  <dcterms:modified xsi:type="dcterms:W3CDTF">2025-03-06T09:21:00Z</dcterms:modified>
</cp:coreProperties>
</file>