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9029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2A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2B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2C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2D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2E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2F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30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31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32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33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34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35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36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37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38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39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3A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3B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3C" w14:textId="77777777" w:rsidR="007F2B14" w:rsidRPr="00ED7F4F" w:rsidRDefault="007F2B14" w:rsidP="00ED7F4F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3355903D" w14:textId="77777777" w:rsidR="007F2B14" w:rsidRPr="00ED7F4F" w:rsidRDefault="007F2B14" w:rsidP="00ED7F4F">
      <w:pPr>
        <w:tabs>
          <w:tab w:val="clear" w:pos="567"/>
        </w:tabs>
        <w:spacing w:line="240" w:lineRule="auto"/>
        <w:jc w:val="center"/>
        <w:rPr>
          <w:b/>
          <w:szCs w:val="22"/>
          <w:lang w:val="pl-PL"/>
        </w:rPr>
      </w:pPr>
      <w:r w:rsidRPr="00ED7F4F">
        <w:rPr>
          <w:b/>
          <w:bCs/>
          <w:szCs w:val="22"/>
          <w:lang w:val="pl-PL"/>
        </w:rPr>
        <w:t>CHARAKTERYSTYKA PRODUKTU LECZNICZEGO WETERYNARYJNEGO</w:t>
      </w:r>
    </w:p>
    <w:p w14:paraId="3355903E" w14:textId="77777777" w:rsidR="007F2B14" w:rsidRPr="00ED7F4F" w:rsidRDefault="007F2B14" w:rsidP="00ED7F4F">
      <w:pPr>
        <w:tabs>
          <w:tab w:val="clear" w:pos="567"/>
        </w:tabs>
        <w:spacing w:line="240" w:lineRule="auto"/>
        <w:jc w:val="center"/>
        <w:rPr>
          <w:b/>
          <w:szCs w:val="22"/>
          <w:lang w:val="pl-PL"/>
        </w:rPr>
      </w:pPr>
    </w:p>
    <w:p w14:paraId="3355903F" w14:textId="77777777" w:rsidR="007F2B14" w:rsidRPr="00ED7F4F" w:rsidRDefault="007F2B14" w:rsidP="00ED7F4F">
      <w:pPr>
        <w:tabs>
          <w:tab w:val="clear" w:pos="567"/>
        </w:tabs>
        <w:spacing w:line="240" w:lineRule="auto"/>
        <w:jc w:val="center"/>
        <w:rPr>
          <w:b/>
          <w:szCs w:val="22"/>
          <w:lang w:val="pl-PL"/>
        </w:rPr>
      </w:pPr>
    </w:p>
    <w:p w14:paraId="33559040" w14:textId="77777777" w:rsidR="007F2B14" w:rsidRPr="00ED7F4F" w:rsidRDefault="007F2B14" w:rsidP="00ED7F4F">
      <w:pPr>
        <w:tabs>
          <w:tab w:val="clear" w:pos="567"/>
        </w:tabs>
        <w:spacing w:line="240" w:lineRule="auto"/>
        <w:jc w:val="center"/>
        <w:rPr>
          <w:b/>
          <w:szCs w:val="22"/>
          <w:lang w:val="pl-PL"/>
        </w:rPr>
      </w:pPr>
    </w:p>
    <w:p w14:paraId="33559041" w14:textId="77777777" w:rsidR="007F2B14" w:rsidRPr="00ED7F4F" w:rsidRDefault="007F2B14" w:rsidP="00ED7F4F">
      <w:pPr>
        <w:tabs>
          <w:tab w:val="clear" w:pos="567"/>
        </w:tabs>
        <w:spacing w:line="240" w:lineRule="auto"/>
        <w:jc w:val="center"/>
        <w:rPr>
          <w:b/>
          <w:szCs w:val="22"/>
          <w:lang w:val="pl-PL"/>
        </w:rPr>
      </w:pPr>
    </w:p>
    <w:p w14:paraId="33559042" w14:textId="77777777" w:rsidR="007F2B14" w:rsidRPr="00ED7F4F" w:rsidRDefault="007F2B14" w:rsidP="00ED7F4F">
      <w:pPr>
        <w:tabs>
          <w:tab w:val="clear" w:pos="567"/>
        </w:tabs>
        <w:spacing w:line="240" w:lineRule="auto"/>
        <w:jc w:val="center"/>
        <w:rPr>
          <w:b/>
          <w:szCs w:val="22"/>
          <w:lang w:val="pl-PL"/>
        </w:rPr>
      </w:pPr>
    </w:p>
    <w:p w14:paraId="33559043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b/>
          <w:szCs w:val="22"/>
          <w:lang w:val="pl-PL"/>
        </w:rPr>
      </w:pPr>
    </w:p>
    <w:p w14:paraId="33559044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b/>
          <w:szCs w:val="22"/>
          <w:lang w:val="pl-PL"/>
        </w:rPr>
      </w:pPr>
    </w:p>
    <w:p w14:paraId="33559045" w14:textId="77777777" w:rsidR="007F2B14" w:rsidRPr="00ED7F4F" w:rsidRDefault="007F2B14" w:rsidP="00ED7F4F">
      <w:pPr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br w:type="page"/>
      </w:r>
      <w:r w:rsidRPr="00ED7F4F">
        <w:rPr>
          <w:b/>
          <w:bCs/>
          <w:szCs w:val="22"/>
          <w:lang w:val="pl-PL"/>
        </w:rPr>
        <w:lastRenderedPageBreak/>
        <w:t>1.</w:t>
      </w:r>
      <w:r w:rsidRPr="00ED7F4F">
        <w:rPr>
          <w:b/>
          <w:bCs/>
          <w:szCs w:val="22"/>
          <w:lang w:val="pl-PL"/>
        </w:rPr>
        <w:tab/>
        <w:t>NAZWA PRODUKTU LECZNICZEGO WETERYNARYJNEGO</w:t>
      </w:r>
      <w:r w:rsidRPr="00ED7F4F">
        <w:rPr>
          <w:szCs w:val="22"/>
          <w:lang w:val="pl-PL"/>
        </w:rPr>
        <w:t xml:space="preserve"> </w:t>
      </w:r>
    </w:p>
    <w:p w14:paraId="33559046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E3C558A" w14:textId="3FABA0D6" w:rsidR="00493F85" w:rsidRDefault="007F2B14" w:rsidP="00ED7F4F">
      <w:pPr>
        <w:tabs>
          <w:tab w:val="clear" w:pos="567"/>
        </w:tabs>
        <w:spacing w:line="240" w:lineRule="auto"/>
        <w:ind w:left="5670" w:hanging="5670"/>
        <w:rPr>
          <w:szCs w:val="22"/>
          <w:lang w:val="pl-PL"/>
        </w:rPr>
      </w:pPr>
      <w:proofErr w:type="spellStart"/>
      <w:r w:rsidRPr="00ED7F4F">
        <w:rPr>
          <w:szCs w:val="22"/>
          <w:lang w:val="pl-PL"/>
        </w:rPr>
        <w:t>PolyVar</w:t>
      </w:r>
      <w:proofErr w:type="spellEnd"/>
      <w:r w:rsidRPr="00ED7F4F">
        <w:rPr>
          <w:szCs w:val="22"/>
          <w:lang w:val="pl-PL"/>
        </w:rPr>
        <w:t xml:space="preserve"> </w:t>
      </w:r>
      <w:proofErr w:type="spellStart"/>
      <w:r w:rsidRPr="00ED7F4F">
        <w:rPr>
          <w:szCs w:val="22"/>
          <w:lang w:val="pl-PL"/>
        </w:rPr>
        <w:t>Yellow</w:t>
      </w:r>
      <w:proofErr w:type="spellEnd"/>
      <w:r w:rsidRPr="00ED7F4F">
        <w:rPr>
          <w:szCs w:val="22"/>
          <w:lang w:val="pl-PL"/>
        </w:rPr>
        <w:t xml:space="preserve"> 275 mg pasek do </w:t>
      </w:r>
      <w:r w:rsidRPr="001348E6">
        <w:rPr>
          <w:szCs w:val="22"/>
          <w:lang w:val="pl-PL"/>
        </w:rPr>
        <w:t>umieszczenia</w:t>
      </w:r>
      <w:r w:rsidRPr="00ED7F4F">
        <w:rPr>
          <w:szCs w:val="22"/>
          <w:lang w:val="pl-PL"/>
        </w:rPr>
        <w:t xml:space="preserve"> w ulu</w:t>
      </w:r>
      <w:r w:rsidRPr="00ED7F4F">
        <w:rPr>
          <w:szCs w:val="22"/>
          <w:lang w:val="pl-PL"/>
        </w:rPr>
        <w:tab/>
      </w:r>
    </w:p>
    <w:p w14:paraId="46A1076A" w14:textId="77777777" w:rsidR="00271A0E" w:rsidRPr="00D77502" w:rsidRDefault="00271A0E" w:rsidP="00ED7F4F">
      <w:pPr>
        <w:tabs>
          <w:tab w:val="clear" w:pos="567"/>
        </w:tabs>
        <w:spacing w:line="240" w:lineRule="auto"/>
        <w:ind w:left="5670" w:hanging="5670"/>
        <w:rPr>
          <w:szCs w:val="22"/>
          <w:lang w:val="pl-PL"/>
        </w:rPr>
      </w:pPr>
    </w:p>
    <w:p w14:paraId="19F53072" w14:textId="6D96A0BB" w:rsidR="00271A0E" w:rsidRDefault="00493F85" w:rsidP="00ED7F4F">
      <w:pPr>
        <w:tabs>
          <w:tab w:val="clear" w:pos="567"/>
        </w:tabs>
        <w:spacing w:line="240" w:lineRule="auto"/>
        <w:ind w:left="5670" w:hanging="5670"/>
        <w:rPr>
          <w:szCs w:val="22"/>
        </w:rPr>
      </w:pPr>
      <w:proofErr w:type="spellStart"/>
      <w:r w:rsidRPr="00493F85">
        <w:rPr>
          <w:szCs w:val="22"/>
        </w:rPr>
        <w:t>PolyVar</w:t>
      </w:r>
      <w:proofErr w:type="spellEnd"/>
      <w:r w:rsidRPr="00493F85">
        <w:rPr>
          <w:szCs w:val="22"/>
        </w:rPr>
        <w:t xml:space="preserve"> Yellow 275 mg bee-hive strip </w:t>
      </w:r>
    </w:p>
    <w:p w14:paraId="33559047" w14:textId="7BFA86A6" w:rsidR="007F2B14" w:rsidRPr="00D77502" w:rsidRDefault="007F2B14" w:rsidP="00271A0E">
      <w:pPr>
        <w:tabs>
          <w:tab w:val="clear" w:pos="567"/>
        </w:tabs>
        <w:spacing w:line="240" w:lineRule="auto"/>
        <w:ind w:left="5670" w:hanging="5670"/>
        <w:rPr>
          <w:szCs w:val="22"/>
          <w:lang w:val="en-US"/>
        </w:rPr>
      </w:pPr>
      <w:r w:rsidRPr="00D77502">
        <w:rPr>
          <w:szCs w:val="22"/>
          <w:lang w:val="en-US"/>
        </w:rPr>
        <w:t>[AT, BE, BG, CY, CZ, DE, EE, EL, FR, HR, HU, IE, IT, LU, NL</w:t>
      </w:r>
      <w:r w:rsidR="00790092" w:rsidRPr="00D77502">
        <w:rPr>
          <w:szCs w:val="22"/>
          <w:lang w:val="en-US"/>
        </w:rPr>
        <w:t>,</w:t>
      </w:r>
      <w:r w:rsidR="00271A0E" w:rsidRPr="00D77502">
        <w:rPr>
          <w:szCs w:val="22"/>
          <w:lang w:val="en-US"/>
        </w:rPr>
        <w:t xml:space="preserve"> </w:t>
      </w:r>
      <w:r w:rsidRPr="00D77502">
        <w:rPr>
          <w:szCs w:val="22"/>
          <w:lang w:val="en-US"/>
        </w:rPr>
        <w:t>RO, SI, SK, UK]</w:t>
      </w:r>
    </w:p>
    <w:p w14:paraId="33559048" w14:textId="705617FB" w:rsidR="007F2B14" w:rsidRPr="00AA0B90" w:rsidRDefault="007F2B14" w:rsidP="00131213">
      <w:pPr>
        <w:tabs>
          <w:tab w:val="clear" w:pos="567"/>
        </w:tabs>
        <w:spacing w:line="240" w:lineRule="auto"/>
        <w:rPr>
          <w:szCs w:val="22"/>
          <w:lang w:val="en-US"/>
        </w:rPr>
      </w:pPr>
      <w:proofErr w:type="spellStart"/>
      <w:r w:rsidRPr="00AA0B90">
        <w:rPr>
          <w:szCs w:val="22"/>
          <w:lang w:val="en-US"/>
        </w:rPr>
        <w:t>Polyvar</w:t>
      </w:r>
      <w:proofErr w:type="spellEnd"/>
      <w:r w:rsidRPr="00AA0B90">
        <w:rPr>
          <w:szCs w:val="22"/>
          <w:lang w:val="en-US"/>
        </w:rPr>
        <w:t xml:space="preserve"> 275 mg bee-hive</w:t>
      </w:r>
      <w:r w:rsidR="00131213">
        <w:rPr>
          <w:szCs w:val="22"/>
          <w:lang w:val="en-US"/>
        </w:rPr>
        <w:t xml:space="preserve"> </w:t>
      </w:r>
      <w:r w:rsidRPr="00AA0B90">
        <w:rPr>
          <w:szCs w:val="22"/>
          <w:lang w:val="en-US"/>
        </w:rPr>
        <w:t>strip</w:t>
      </w:r>
      <w:r w:rsidR="00271A0E">
        <w:rPr>
          <w:szCs w:val="22"/>
          <w:lang w:val="en-US"/>
        </w:rPr>
        <w:t xml:space="preserve"> </w:t>
      </w:r>
      <w:r w:rsidR="00271A0E" w:rsidRPr="00D77502">
        <w:rPr>
          <w:szCs w:val="22"/>
          <w:lang w:val="en-US"/>
        </w:rPr>
        <w:t>[</w:t>
      </w:r>
      <w:r w:rsidRPr="00AA0B90">
        <w:rPr>
          <w:szCs w:val="22"/>
          <w:lang w:val="en-US"/>
        </w:rPr>
        <w:t>DK, ES, PT, SE]</w:t>
      </w:r>
    </w:p>
    <w:p w14:paraId="33559049" w14:textId="77777777" w:rsidR="007F2B14" w:rsidRPr="00AA0B90" w:rsidRDefault="007F2B14" w:rsidP="00ED7F4F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3355904A" w14:textId="77777777" w:rsidR="007F2B14" w:rsidRPr="00AA0B90" w:rsidRDefault="007F2B14" w:rsidP="00ED7F4F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3355904B" w14:textId="77777777" w:rsidR="007F2B14" w:rsidRPr="00DC069F" w:rsidRDefault="007F2B14" w:rsidP="00ED7F4F">
      <w:pPr>
        <w:spacing w:line="240" w:lineRule="auto"/>
        <w:rPr>
          <w:szCs w:val="22"/>
          <w:lang w:val="pl-PL"/>
        </w:rPr>
      </w:pPr>
      <w:r w:rsidRPr="00DC069F">
        <w:rPr>
          <w:b/>
          <w:bCs/>
          <w:szCs w:val="22"/>
          <w:lang w:val="pl-PL"/>
        </w:rPr>
        <w:t>2.</w:t>
      </w:r>
      <w:r w:rsidRPr="00DC069F">
        <w:rPr>
          <w:b/>
          <w:bCs/>
          <w:szCs w:val="22"/>
          <w:lang w:val="pl-PL"/>
        </w:rPr>
        <w:tab/>
        <w:t>SKŁAD JAKOŚCIOWY I ILOŚCIOWY</w:t>
      </w:r>
    </w:p>
    <w:p w14:paraId="3355904C" w14:textId="77777777" w:rsidR="007F2B14" w:rsidRPr="00DC069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4D" w14:textId="1E6FEE83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Jeden pasek do umieszczenia w ulu zawiera:</w:t>
      </w:r>
    </w:p>
    <w:p w14:paraId="3355904E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4F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b/>
          <w:szCs w:val="22"/>
          <w:lang w:val="pl-PL"/>
        </w:rPr>
      </w:pPr>
      <w:r w:rsidRPr="00ED7F4F">
        <w:rPr>
          <w:b/>
          <w:bCs/>
          <w:szCs w:val="22"/>
          <w:lang w:val="pl-PL"/>
        </w:rPr>
        <w:t>Substancja czynna:</w:t>
      </w:r>
    </w:p>
    <w:p w14:paraId="33559050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proofErr w:type="spellStart"/>
      <w:r w:rsidRPr="00ED7F4F">
        <w:rPr>
          <w:szCs w:val="22"/>
          <w:lang w:val="pl-PL"/>
        </w:rPr>
        <w:t>Flumetryna</w:t>
      </w:r>
      <w:proofErr w:type="spellEnd"/>
      <w:r w:rsidRPr="00ED7F4F">
        <w:rPr>
          <w:szCs w:val="22"/>
          <w:lang w:val="pl-PL"/>
        </w:rPr>
        <w:t xml:space="preserve"> 275 mg </w:t>
      </w:r>
    </w:p>
    <w:p w14:paraId="33559051" w14:textId="77777777" w:rsidR="007F2B14" w:rsidRPr="00ED7F4F" w:rsidRDefault="007F2B14" w:rsidP="00ED7F4F">
      <w:pPr>
        <w:tabs>
          <w:tab w:val="clear" w:pos="567"/>
          <w:tab w:val="left" w:pos="2745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ab/>
      </w:r>
    </w:p>
    <w:p w14:paraId="33559052" w14:textId="77777777" w:rsidR="007F2B14" w:rsidRPr="00ED7F4F" w:rsidRDefault="007F2B14" w:rsidP="00ED7F4F">
      <w:pPr>
        <w:tabs>
          <w:tab w:val="clear" w:pos="567"/>
          <w:tab w:val="left" w:pos="2745"/>
        </w:tabs>
        <w:spacing w:line="240" w:lineRule="auto"/>
        <w:rPr>
          <w:b/>
          <w:szCs w:val="22"/>
          <w:lang w:val="pl-PL"/>
        </w:rPr>
      </w:pPr>
      <w:r w:rsidRPr="00ED7F4F">
        <w:rPr>
          <w:b/>
          <w:szCs w:val="22"/>
          <w:lang w:val="pl-PL"/>
        </w:rPr>
        <w:t>Substancje pomocnicze:</w:t>
      </w:r>
    </w:p>
    <w:p w14:paraId="33559053" w14:textId="77777777" w:rsidR="007F2B14" w:rsidRPr="00ED7F4F" w:rsidRDefault="007F2B14" w:rsidP="00ED7F4F">
      <w:pPr>
        <w:rPr>
          <w:szCs w:val="22"/>
          <w:lang w:val="pl-PL"/>
        </w:rPr>
      </w:pPr>
      <w:r w:rsidRPr="00ED7F4F">
        <w:rPr>
          <w:szCs w:val="22"/>
          <w:lang w:val="pl-PL"/>
        </w:rPr>
        <w:t>Wykaz wszystkich substancji pomocniczych, patrz punkt 6.1.</w:t>
      </w:r>
    </w:p>
    <w:p w14:paraId="33559054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55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56" w14:textId="77777777" w:rsidR="007F2B14" w:rsidRPr="00ED7F4F" w:rsidRDefault="007F2B14" w:rsidP="00ED7F4F">
      <w:pPr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3.</w:t>
      </w:r>
      <w:r w:rsidRPr="00ED7F4F">
        <w:rPr>
          <w:b/>
          <w:bCs/>
          <w:szCs w:val="22"/>
          <w:lang w:val="pl-PL"/>
        </w:rPr>
        <w:tab/>
        <w:t>POSTAĆ FARMACEUTYCZNA</w:t>
      </w:r>
    </w:p>
    <w:p w14:paraId="33559057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58" w14:textId="5FEC71E5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Pasek do umieszczenia w ulu</w:t>
      </w:r>
    </w:p>
    <w:p w14:paraId="33559059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bCs/>
          <w:iCs/>
          <w:szCs w:val="22"/>
          <w:lang w:val="pl-PL"/>
        </w:rPr>
      </w:pPr>
      <w:r w:rsidRPr="00ED7F4F">
        <w:rPr>
          <w:szCs w:val="22"/>
          <w:lang w:val="pl-PL"/>
        </w:rPr>
        <w:t>Żółte, plastikowe paski z 15 otworami</w:t>
      </w:r>
    </w:p>
    <w:p w14:paraId="3355905A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5B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5C" w14:textId="77777777" w:rsidR="007F2B14" w:rsidRPr="00ED7F4F" w:rsidRDefault="007F2B14" w:rsidP="00ED7F4F">
      <w:pPr>
        <w:spacing w:line="240" w:lineRule="auto"/>
        <w:rPr>
          <w:b/>
          <w:szCs w:val="22"/>
          <w:lang w:val="pl-PL"/>
        </w:rPr>
      </w:pPr>
      <w:r w:rsidRPr="00ED7F4F">
        <w:rPr>
          <w:b/>
          <w:bCs/>
          <w:szCs w:val="22"/>
          <w:lang w:val="pl-PL"/>
        </w:rPr>
        <w:t>4.</w:t>
      </w:r>
      <w:r w:rsidRPr="00ED7F4F">
        <w:rPr>
          <w:b/>
          <w:bCs/>
          <w:szCs w:val="22"/>
          <w:lang w:val="pl-PL"/>
        </w:rPr>
        <w:tab/>
        <w:t>SZCZEGÓŁOWE DANE KLINICZNE</w:t>
      </w:r>
    </w:p>
    <w:p w14:paraId="3355905D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5E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b/>
          <w:szCs w:val="22"/>
          <w:lang w:val="pl-PL"/>
        </w:rPr>
      </w:pPr>
      <w:r w:rsidRPr="00ED7F4F">
        <w:rPr>
          <w:b/>
          <w:bCs/>
          <w:szCs w:val="22"/>
          <w:lang w:val="pl-PL"/>
        </w:rPr>
        <w:t>4.1</w:t>
      </w:r>
      <w:r w:rsidRPr="00ED7F4F">
        <w:rPr>
          <w:b/>
          <w:bCs/>
          <w:szCs w:val="22"/>
          <w:lang w:val="pl-PL"/>
        </w:rPr>
        <w:tab/>
        <w:t>Docelowe gatunki zwierząt</w:t>
      </w:r>
    </w:p>
    <w:p w14:paraId="3355905F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60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Pszczoła miodna (</w:t>
      </w:r>
      <w:r w:rsidRPr="00ED7F4F">
        <w:rPr>
          <w:i/>
          <w:iCs/>
          <w:szCs w:val="22"/>
          <w:lang w:val="pl-PL"/>
        </w:rPr>
        <w:t xml:space="preserve">Apis </w:t>
      </w:r>
      <w:proofErr w:type="spellStart"/>
      <w:r w:rsidRPr="00ED7F4F">
        <w:rPr>
          <w:i/>
          <w:iCs/>
          <w:szCs w:val="22"/>
          <w:lang w:val="pl-PL"/>
        </w:rPr>
        <w:t>mellifera</w:t>
      </w:r>
      <w:proofErr w:type="spellEnd"/>
      <w:r w:rsidRPr="00ED7F4F">
        <w:rPr>
          <w:szCs w:val="22"/>
          <w:lang w:val="pl-PL"/>
        </w:rPr>
        <w:t>)</w:t>
      </w:r>
    </w:p>
    <w:p w14:paraId="33559061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62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4.2</w:t>
      </w:r>
      <w:r w:rsidRPr="00ED7F4F">
        <w:rPr>
          <w:b/>
          <w:bCs/>
          <w:szCs w:val="22"/>
          <w:lang w:val="pl-PL"/>
        </w:rPr>
        <w:tab/>
        <w:t>Wskazania lecznicze dla poszczególnych docelowych gatunków zwierząt</w:t>
      </w:r>
    </w:p>
    <w:p w14:paraId="33559063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64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Leczenie </w:t>
      </w:r>
      <w:proofErr w:type="spellStart"/>
      <w:r w:rsidRPr="00ED7F4F">
        <w:rPr>
          <w:szCs w:val="22"/>
          <w:lang w:val="pl-PL"/>
        </w:rPr>
        <w:t>warrozy</w:t>
      </w:r>
      <w:proofErr w:type="spellEnd"/>
      <w:r w:rsidRPr="00ED7F4F">
        <w:rPr>
          <w:szCs w:val="22"/>
          <w:lang w:val="pl-PL"/>
        </w:rPr>
        <w:t xml:space="preserve"> u pszczół miodnych, wywoływanej przez roztocza </w:t>
      </w:r>
      <w:proofErr w:type="spellStart"/>
      <w:r w:rsidRPr="00ED7F4F">
        <w:rPr>
          <w:i/>
          <w:iCs/>
          <w:szCs w:val="22"/>
          <w:lang w:val="pl-PL"/>
        </w:rPr>
        <w:t>Varroa</w:t>
      </w:r>
      <w:proofErr w:type="spellEnd"/>
      <w:r w:rsidRPr="00ED7F4F">
        <w:rPr>
          <w:i/>
          <w:iCs/>
          <w:szCs w:val="22"/>
          <w:lang w:val="pl-PL"/>
        </w:rPr>
        <w:t xml:space="preserve"> </w:t>
      </w:r>
      <w:proofErr w:type="spellStart"/>
      <w:r w:rsidRPr="00ED7F4F">
        <w:rPr>
          <w:i/>
          <w:iCs/>
          <w:szCs w:val="22"/>
          <w:lang w:val="pl-PL"/>
        </w:rPr>
        <w:t>destructor</w:t>
      </w:r>
      <w:proofErr w:type="spellEnd"/>
      <w:r w:rsidRPr="00ED7F4F">
        <w:rPr>
          <w:szCs w:val="22"/>
          <w:lang w:val="pl-PL"/>
        </w:rPr>
        <w:t xml:space="preserve">, wrażliwe na działanie </w:t>
      </w:r>
      <w:proofErr w:type="spellStart"/>
      <w:r w:rsidRPr="00ED7F4F">
        <w:rPr>
          <w:szCs w:val="22"/>
          <w:lang w:val="pl-PL"/>
        </w:rPr>
        <w:t>flumetryny</w:t>
      </w:r>
      <w:proofErr w:type="spellEnd"/>
      <w:r w:rsidRPr="00ED7F4F">
        <w:rPr>
          <w:szCs w:val="22"/>
          <w:lang w:val="pl-PL"/>
        </w:rPr>
        <w:t>.</w:t>
      </w:r>
    </w:p>
    <w:p w14:paraId="33559065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66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4.3</w:t>
      </w:r>
      <w:r w:rsidRPr="00ED7F4F">
        <w:rPr>
          <w:b/>
          <w:bCs/>
          <w:szCs w:val="22"/>
          <w:lang w:val="pl-PL"/>
        </w:rPr>
        <w:tab/>
        <w:t>Przeciwwskazania</w:t>
      </w:r>
    </w:p>
    <w:p w14:paraId="33559067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68" w14:textId="77777777" w:rsidR="007F2B14" w:rsidRPr="00ED7F4F" w:rsidRDefault="007F2B14" w:rsidP="00ED7F4F">
      <w:pPr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Nie stosować w przypadku stwierdzonej oporności na </w:t>
      </w:r>
      <w:proofErr w:type="spellStart"/>
      <w:r w:rsidRPr="00ED7F4F">
        <w:rPr>
          <w:szCs w:val="22"/>
          <w:lang w:val="pl-PL"/>
        </w:rPr>
        <w:t>pyretroidy</w:t>
      </w:r>
      <w:proofErr w:type="spellEnd"/>
      <w:r w:rsidRPr="00ED7F4F">
        <w:rPr>
          <w:szCs w:val="22"/>
          <w:lang w:val="pl-PL"/>
        </w:rPr>
        <w:t xml:space="preserve">, opisanej w punkcie 4.4 </w:t>
      </w:r>
      <w:r>
        <w:rPr>
          <w:szCs w:val="22"/>
          <w:lang w:val="pl-PL"/>
        </w:rPr>
        <w:t>„</w:t>
      </w:r>
      <w:r w:rsidRPr="00ED7F4F">
        <w:rPr>
          <w:szCs w:val="22"/>
          <w:lang w:val="pl-PL"/>
        </w:rPr>
        <w:t>Specjalne ostrzeżenia</w:t>
      </w:r>
      <w:r>
        <w:rPr>
          <w:szCs w:val="22"/>
          <w:lang w:val="pl-PL"/>
        </w:rPr>
        <w:t>”</w:t>
      </w:r>
      <w:r w:rsidRPr="00ED7F4F">
        <w:rPr>
          <w:szCs w:val="22"/>
          <w:lang w:val="pl-PL"/>
        </w:rPr>
        <w:t>.</w:t>
      </w:r>
    </w:p>
    <w:p w14:paraId="33559069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6A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b/>
          <w:szCs w:val="22"/>
          <w:lang w:val="pl-PL"/>
        </w:rPr>
      </w:pPr>
      <w:r w:rsidRPr="00ED7F4F">
        <w:rPr>
          <w:b/>
          <w:bCs/>
          <w:szCs w:val="22"/>
          <w:lang w:val="pl-PL"/>
        </w:rPr>
        <w:t>4.4</w:t>
      </w:r>
      <w:r w:rsidRPr="00ED7F4F">
        <w:rPr>
          <w:b/>
          <w:bCs/>
          <w:szCs w:val="22"/>
          <w:lang w:val="pl-PL"/>
        </w:rPr>
        <w:tab/>
        <w:t>Specjalne ostrzeżenia dla każdego z docelowych gatunków zwierząt</w:t>
      </w:r>
    </w:p>
    <w:p w14:paraId="3355906B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6C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Wszystkie kolonie znajdujące się w pasiece należy leczyć jednocześnie. </w:t>
      </w:r>
    </w:p>
    <w:p w14:paraId="3355906D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Produkt należy stosować w ramach zintegrowanego programu leczenia </w:t>
      </w:r>
      <w:proofErr w:type="spellStart"/>
      <w:r w:rsidRPr="00ED7F4F">
        <w:rPr>
          <w:szCs w:val="22"/>
          <w:lang w:val="pl-PL"/>
        </w:rPr>
        <w:t>warrozy</w:t>
      </w:r>
      <w:proofErr w:type="spellEnd"/>
      <w:r w:rsidRPr="00ED7F4F">
        <w:rPr>
          <w:szCs w:val="22"/>
          <w:lang w:val="pl-PL"/>
        </w:rPr>
        <w:t>.</w:t>
      </w:r>
    </w:p>
    <w:p w14:paraId="3355906E" w14:textId="6AC1A6BF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Skuteczną metodą ograniczania ryzyka rozwoju oporności jest niestosowanie </w:t>
      </w:r>
      <w:r w:rsidR="00650AD8" w:rsidRPr="00ED7F4F">
        <w:rPr>
          <w:szCs w:val="22"/>
          <w:lang w:val="pl-PL"/>
        </w:rPr>
        <w:t>produkt</w:t>
      </w:r>
      <w:r w:rsidR="00650AD8">
        <w:rPr>
          <w:szCs w:val="22"/>
          <w:lang w:val="pl-PL"/>
        </w:rPr>
        <w:t xml:space="preserve">ów zawierających </w:t>
      </w:r>
      <w:proofErr w:type="spellStart"/>
      <w:r w:rsidR="00650AD8">
        <w:rPr>
          <w:szCs w:val="22"/>
          <w:lang w:val="pl-PL"/>
        </w:rPr>
        <w:t>flumetrynę</w:t>
      </w:r>
      <w:proofErr w:type="spellEnd"/>
      <w:r w:rsidR="00A07E1B">
        <w:rPr>
          <w:szCs w:val="22"/>
          <w:lang w:val="pl-PL"/>
        </w:rPr>
        <w:t>,</w:t>
      </w:r>
      <w:r w:rsidR="00650AD8" w:rsidRPr="00ED7F4F">
        <w:rPr>
          <w:szCs w:val="22"/>
          <w:lang w:val="pl-PL"/>
        </w:rPr>
        <w:t xml:space="preserve"> </w:t>
      </w:r>
      <w:r w:rsidRPr="00ED7F4F">
        <w:rPr>
          <w:szCs w:val="22"/>
          <w:lang w:val="pl-PL"/>
        </w:rPr>
        <w:t>jak też innych akarycydów</w:t>
      </w:r>
      <w:r w:rsidR="00A07E1B">
        <w:rPr>
          <w:szCs w:val="22"/>
          <w:lang w:val="pl-PL"/>
        </w:rPr>
        <w:t>,</w:t>
      </w:r>
      <w:r w:rsidRPr="00ED7F4F" w:rsidDel="00E7052C">
        <w:rPr>
          <w:szCs w:val="22"/>
          <w:lang w:val="pl-PL"/>
        </w:rPr>
        <w:t xml:space="preserve"> </w:t>
      </w:r>
      <w:r w:rsidRPr="00ED7F4F">
        <w:rPr>
          <w:szCs w:val="22"/>
          <w:lang w:val="pl-PL"/>
        </w:rPr>
        <w:t xml:space="preserve">rok po roku. Zamiast tego, należy naprzemiennie stosować produkty zawierające substancje czynne z innych grup chemicznych. W zależności od nasilenia oporności w regionie, może być konieczna przerwa w leczeniu trwająca dłużej niż jeden rok.  </w:t>
      </w:r>
    </w:p>
    <w:p w14:paraId="3355906F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Ponieważ </w:t>
      </w:r>
      <w:proofErr w:type="spellStart"/>
      <w:r w:rsidRPr="00ED7F4F">
        <w:rPr>
          <w:szCs w:val="22"/>
          <w:lang w:val="pl-PL"/>
        </w:rPr>
        <w:t>flumetryna</w:t>
      </w:r>
      <w:proofErr w:type="spellEnd"/>
      <w:r w:rsidRPr="00ED7F4F">
        <w:rPr>
          <w:szCs w:val="22"/>
          <w:lang w:val="pl-PL"/>
        </w:rPr>
        <w:t xml:space="preserve"> i tau-</w:t>
      </w:r>
      <w:proofErr w:type="spellStart"/>
      <w:r w:rsidRPr="00ED7F4F">
        <w:rPr>
          <w:szCs w:val="22"/>
          <w:lang w:val="pl-PL"/>
        </w:rPr>
        <w:t>fluwalinat</w:t>
      </w:r>
      <w:proofErr w:type="spellEnd"/>
      <w:r w:rsidRPr="00ED7F4F">
        <w:rPr>
          <w:szCs w:val="22"/>
          <w:lang w:val="pl-PL"/>
        </w:rPr>
        <w:t xml:space="preserve"> należą do tej samej klasy chemicznej, nie należy stosować ich zamiennie. </w:t>
      </w:r>
    </w:p>
    <w:p w14:paraId="33559070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Nieprawidłowe zastosowanie produktu może skutkować wzrostem ryzyka rozwoju oporności, a ostatecznie obniżyć skuteczność terapii i doprowadzić do utraty rodzin pszczelich.</w:t>
      </w:r>
    </w:p>
    <w:p w14:paraId="33559071" w14:textId="77777777" w:rsidR="007F2B14" w:rsidRPr="00ED7F4F" w:rsidRDefault="007F2B14" w:rsidP="00ED7F4F">
      <w:pPr>
        <w:rPr>
          <w:szCs w:val="22"/>
          <w:lang w:val="pl-PL"/>
        </w:rPr>
      </w:pPr>
    </w:p>
    <w:p w14:paraId="33559072" w14:textId="49DD3262" w:rsidR="007F2B14" w:rsidRPr="00ED7F4F" w:rsidRDefault="007F2B14" w:rsidP="00ED7F4F">
      <w:pPr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Zaleca się przebadanie wrażliwości na akarycydy na poziomie regionalnym, np. za pomocą badań biologicznych lub analizy molekularnej (PCR). W przypadku istniejącej oporności na </w:t>
      </w:r>
      <w:proofErr w:type="spellStart"/>
      <w:r w:rsidRPr="00ED7F4F">
        <w:rPr>
          <w:szCs w:val="22"/>
          <w:lang w:val="pl-PL"/>
        </w:rPr>
        <w:t>pyretroidy</w:t>
      </w:r>
      <w:proofErr w:type="spellEnd"/>
      <w:r w:rsidRPr="00ED7F4F">
        <w:rPr>
          <w:szCs w:val="22"/>
          <w:lang w:val="pl-PL"/>
        </w:rPr>
        <w:t xml:space="preserve"> </w:t>
      </w:r>
      <w:r>
        <w:rPr>
          <w:szCs w:val="22"/>
          <w:lang w:val="pl-PL"/>
        </w:rPr>
        <w:t>produkt</w:t>
      </w:r>
      <w:r w:rsidR="00650AD8">
        <w:rPr>
          <w:szCs w:val="22"/>
          <w:lang w:val="pl-PL"/>
        </w:rPr>
        <w:t xml:space="preserve">y </w:t>
      </w:r>
      <w:r w:rsidR="00650AD8">
        <w:rPr>
          <w:szCs w:val="22"/>
          <w:lang w:val="pl-PL"/>
        </w:rPr>
        <w:lastRenderedPageBreak/>
        <w:t xml:space="preserve">zawierające </w:t>
      </w:r>
      <w:proofErr w:type="spellStart"/>
      <w:r w:rsidR="00650AD8">
        <w:rPr>
          <w:szCs w:val="22"/>
          <w:lang w:val="pl-PL"/>
        </w:rPr>
        <w:t>flumetrynę</w:t>
      </w:r>
      <w:proofErr w:type="spellEnd"/>
      <w:r w:rsidRPr="00ED7F4F">
        <w:rPr>
          <w:szCs w:val="22"/>
          <w:lang w:val="pl-PL"/>
        </w:rPr>
        <w:t xml:space="preserve"> nie powin</w:t>
      </w:r>
      <w:r w:rsidR="00650AD8">
        <w:rPr>
          <w:szCs w:val="22"/>
          <w:lang w:val="pl-PL"/>
        </w:rPr>
        <w:t>ny</w:t>
      </w:r>
      <w:r w:rsidRPr="00ED7F4F">
        <w:rPr>
          <w:szCs w:val="22"/>
          <w:lang w:val="pl-PL"/>
        </w:rPr>
        <w:t xml:space="preserve"> być stosowan</w:t>
      </w:r>
      <w:r w:rsidR="00650AD8">
        <w:rPr>
          <w:szCs w:val="22"/>
          <w:lang w:val="pl-PL"/>
        </w:rPr>
        <w:t>e</w:t>
      </w:r>
      <w:r w:rsidRPr="00ED7F4F">
        <w:rPr>
          <w:szCs w:val="22"/>
          <w:lang w:val="pl-PL"/>
        </w:rPr>
        <w:t xml:space="preserve">. W przypadku wystąpienia w przeszłości oporności na </w:t>
      </w:r>
      <w:proofErr w:type="spellStart"/>
      <w:r w:rsidRPr="00ED7F4F">
        <w:rPr>
          <w:szCs w:val="22"/>
          <w:lang w:val="pl-PL"/>
        </w:rPr>
        <w:t>pyretroidy</w:t>
      </w:r>
      <w:proofErr w:type="spellEnd"/>
      <w:r w:rsidRPr="00ED7F4F">
        <w:rPr>
          <w:szCs w:val="22"/>
          <w:lang w:val="pl-PL"/>
        </w:rPr>
        <w:t>, należy rozważyć ponowne przebadanie rodzin pszczelich, ponieważ wrażliwość może po kilku latach powrócić.</w:t>
      </w:r>
    </w:p>
    <w:p w14:paraId="33559073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74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Ekspozycja na substancję czynną wymaga aktywności lotnej pszczół. W przypadku przedłużającego się okresu niskiej aktywności lotnej pszczół, np. ze względu na niesprzyjające warunki pogodowe, skuteczność działania produktu może być obniżona.</w:t>
      </w:r>
    </w:p>
    <w:p w14:paraId="33559075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76" w14:textId="72C7716A" w:rsidR="007F2B14" w:rsidRPr="00ED7F4F" w:rsidRDefault="00546C21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Efekty</w:t>
      </w:r>
      <w:r w:rsidR="007F2B14" w:rsidRPr="00ED7F4F">
        <w:rPr>
          <w:szCs w:val="22"/>
          <w:lang w:val="pl-PL"/>
        </w:rPr>
        <w:t xml:space="preserve"> leczenia należy monitorować za pomocą standardowych badań, np. ciągłego monitorowania naturalnego spadu roztoczy za pomocą </w:t>
      </w:r>
      <w:r w:rsidRPr="00C615E5">
        <w:rPr>
          <w:szCs w:val="22"/>
          <w:lang w:val="pl-PL"/>
        </w:rPr>
        <w:t xml:space="preserve">lepkiego </w:t>
      </w:r>
      <w:r w:rsidR="007F2B14" w:rsidRPr="00C615E5">
        <w:rPr>
          <w:szCs w:val="22"/>
          <w:lang w:val="pl-PL"/>
        </w:rPr>
        <w:t>wkładu</w:t>
      </w:r>
      <w:r w:rsidR="007F2B14" w:rsidRPr="00ED7F4F">
        <w:rPr>
          <w:szCs w:val="22"/>
          <w:lang w:val="pl-PL"/>
        </w:rPr>
        <w:t xml:space="preserve"> lub oceny średniej liczby roztoczy na 100 pszczół, aby sprawdzić, czy wymagane jest leczenie wiosną, np. kwasem szczawiowym.</w:t>
      </w:r>
    </w:p>
    <w:p w14:paraId="33559079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7A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4.5</w:t>
      </w:r>
      <w:r w:rsidRPr="00ED7F4F">
        <w:rPr>
          <w:b/>
          <w:bCs/>
          <w:szCs w:val="22"/>
          <w:lang w:val="pl-PL"/>
        </w:rPr>
        <w:tab/>
        <w:t>Specjalne środki ostrożności dotyczące stosowania</w:t>
      </w:r>
    </w:p>
    <w:p w14:paraId="3355907B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7C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  <w:lang w:val="pl-PL"/>
        </w:rPr>
      </w:pPr>
      <w:r w:rsidRPr="00ED7F4F">
        <w:rPr>
          <w:szCs w:val="22"/>
          <w:u w:val="single"/>
          <w:lang w:val="pl-PL"/>
        </w:rPr>
        <w:t>Specjalne środki ostrożności dotyczące stosowania u zwierząt</w:t>
      </w:r>
    </w:p>
    <w:p w14:paraId="3355907D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7E" w14:textId="6BD39A31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Po zamocowaniu produktu pszczoły przez kilka godzin mogą </w:t>
      </w:r>
      <w:r w:rsidR="00D31551" w:rsidRPr="00C615E5">
        <w:rPr>
          <w:szCs w:val="22"/>
          <w:lang w:val="pl-PL"/>
        </w:rPr>
        <w:t>tworzyć</w:t>
      </w:r>
      <w:r w:rsidRPr="00ED7F4F">
        <w:rPr>
          <w:szCs w:val="22"/>
          <w:lang w:val="pl-PL"/>
        </w:rPr>
        <w:t xml:space="preserve"> skupiska przy wejściu do ula. </w:t>
      </w:r>
    </w:p>
    <w:p w14:paraId="3355907F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Podczas wysokich temperatur musi być zapewniona odpowiednia wentylacja ula.</w:t>
      </w:r>
    </w:p>
    <w:p w14:paraId="33559080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Produkt</w:t>
      </w:r>
      <w:r w:rsidRPr="00ED7F4F">
        <w:rPr>
          <w:szCs w:val="22"/>
          <w:lang w:val="pl-PL"/>
        </w:rPr>
        <w:t xml:space="preserve"> nie został przetestowany w okresie ekstremalnych upałów. Produkt ten może mieć wpływ na wentylację ula, w stopniu podobnym do standardowych reduktorów umieszczanych </w:t>
      </w:r>
      <w:r w:rsidRPr="00C615E5">
        <w:rPr>
          <w:szCs w:val="22"/>
          <w:lang w:val="pl-PL"/>
        </w:rPr>
        <w:t>w</w:t>
      </w:r>
      <w:r w:rsidRPr="00ED7F4F">
        <w:rPr>
          <w:szCs w:val="22"/>
          <w:lang w:val="pl-PL"/>
        </w:rPr>
        <w:t xml:space="preserve"> </w:t>
      </w:r>
      <w:proofErr w:type="spellStart"/>
      <w:r w:rsidRPr="00ED7F4F">
        <w:rPr>
          <w:szCs w:val="22"/>
          <w:lang w:val="pl-PL"/>
        </w:rPr>
        <w:t>wylotku</w:t>
      </w:r>
      <w:proofErr w:type="spellEnd"/>
      <w:r w:rsidRPr="00ED7F4F">
        <w:rPr>
          <w:szCs w:val="22"/>
          <w:lang w:val="pl-PL"/>
        </w:rPr>
        <w:t xml:space="preserve"> ula, a zatem powinien być czasowo usunięty, jeśli okaże się to niezbędne.</w:t>
      </w:r>
    </w:p>
    <w:p w14:paraId="33559081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82" w14:textId="77777777" w:rsidR="007F2B14" w:rsidRPr="00ED7F4F" w:rsidRDefault="007F2B14" w:rsidP="00ED7F4F">
      <w:pPr>
        <w:rPr>
          <w:szCs w:val="22"/>
          <w:u w:val="single"/>
          <w:lang w:val="pl-PL"/>
        </w:rPr>
      </w:pPr>
      <w:r w:rsidRPr="00ED7F4F">
        <w:rPr>
          <w:bCs/>
          <w:szCs w:val="22"/>
          <w:u w:val="single"/>
          <w:lang w:val="pl-PL"/>
        </w:rPr>
        <w:t>Specjalne środki ostrożności dla osób podających produkt leczniczy weterynaryjny zwierzętom</w:t>
      </w:r>
    </w:p>
    <w:p w14:paraId="33559083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84" w14:textId="0E36444E" w:rsidR="007F2B14" w:rsidRDefault="007F2B14" w:rsidP="00ED7F4F">
      <w:pPr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Torebkę z paskami do umieszczenia w </w:t>
      </w:r>
      <w:proofErr w:type="spellStart"/>
      <w:r w:rsidRPr="00ED7F4F">
        <w:rPr>
          <w:szCs w:val="22"/>
          <w:lang w:val="pl-PL"/>
        </w:rPr>
        <w:t>wylotku</w:t>
      </w:r>
      <w:proofErr w:type="spellEnd"/>
      <w:r w:rsidRPr="00ED7F4F">
        <w:rPr>
          <w:szCs w:val="22"/>
          <w:lang w:val="pl-PL"/>
        </w:rPr>
        <w:t xml:space="preserve"> ula należy trzymać w opakowaniu zewnętrznym do momentu użycia.</w:t>
      </w:r>
    </w:p>
    <w:p w14:paraId="52E71364" w14:textId="641B169D" w:rsidR="00F06902" w:rsidRPr="00ED7F4F" w:rsidRDefault="00F06902" w:rsidP="00ED7F4F">
      <w:p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Torebkę należy otworzyć bezpośrednio</w:t>
      </w:r>
      <w:r w:rsidRPr="00F06902">
        <w:rPr>
          <w:szCs w:val="22"/>
          <w:lang w:val="pl-PL"/>
        </w:rPr>
        <w:t xml:space="preserve"> przed użyciem pasków.</w:t>
      </w:r>
    </w:p>
    <w:p w14:paraId="33559085" w14:textId="77777777" w:rsidR="007F2B14" w:rsidRPr="00ED7F4F" w:rsidRDefault="007F2B14" w:rsidP="00ED7F4F">
      <w:pPr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Po zastosowaniu pasków, należy umyć ręce zimną wodą. </w:t>
      </w:r>
    </w:p>
    <w:p w14:paraId="33559086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87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4.6</w:t>
      </w:r>
      <w:r w:rsidRPr="00ED7F4F">
        <w:rPr>
          <w:b/>
          <w:bCs/>
          <w:szCs w:val="22"/>
          <w:lang w:val="pl-PL"/>
        </w:rPr>
        <w:tab/>
        <w:t>Działania niepożądane (częstotliwość i stopień nasilenia)</w:t>
      </w:r>
    </w:p>
    <w:p w14:paraId="33559088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89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Brak</w:t>
      </w:r>
    </w:p>
    <w:p w14:paraId="3355908A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8B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4.7</w:t>
      </w:r>
      <w:r w:rsidRPr="00ED7F4F">
        <w:rPr>
          <w:b/>
          <w:bCs/>
          <w:szCs w:val="22"/>
          <w:lang w:val="pl-PL"/>
        </w:rPr>
        <w:tab/>
        <w:t>Stosowanie w ciąży, laktacji lub w okresie nieśności</w:t>
      </w:r>
    </w:p>
    <w:p w14:paraId="3355908C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8D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Nie dotyczy</w:t>
      </w:r>
    </w:p>
    <w:p w14:paraId="3355908E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8F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4.8</w:t>
      </w:r>
      <w:r w:rsidRPr="00ED7F4F">
        <w:rPr>
          <w:b/>
          <w:bCs/>
          <w:szCs w:val="22"/>
          <w:lang w:val="pl-PL"/>
        </w:rPr>
        <w:tab/>
        <w:t xml:space="preserve"> Interakcje z innymi produktami leczniczymi i inne rodzaje interakcji</w:t>
      </w:r>
    </w:p>
    <w:p w14:paraId="33559090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92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Nie stosować jednocześnie z innymi akarycydami przeciwko </w:t>
      </w:r>
      <w:proofErr w:type="spellStart"/>
      <w:r w:rsidRPr="00ED7F4F">
        <w:rPr>
          <w:szCs w:val="22"/>
          <w:lang w:val="pl-PL"/>
        </w:rPr>
        <w:t>warrozie</w:t>
      </w:r>
      <w:proofErr w:type="spellEnd"/>
      <w:r w:rsidRPr="00ED7F4F">
        <w:rPr>
          <w:szCs w:val="22"/>
          <w:lang w:val="pl-PL"/>
        </w:rPr>
        <w:t>.</w:t>
      </w:r>
    </w:p>
    <w:p w14:paraId="33559093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94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4.9</w:t>
      </w:r>
      <w:r w:rsidRPr="00ED7F4F">
        <w:rPr>
          <w:b/>
          <w:bCs/>
          <w:szCs w:val="22"/>
          <w:lang w:val="pl-PL"/>
        </w:rPr>
        <w:tab/>
        <w:t>Dawkowanie i droga poda</w:t>
      </w:r>
      <w:r>
        <w:rPr>
          <w:b/>
          <w:bCs/>
          <w:szCs w:val="22"/>
          <w:lang w:val="pl-PL"/>
        </w:rPr>
        <w:t>wa</w:t>
      </w:r>
      <w:r w:rsidRPr="00ED7F4F">
        <w:rPr>
          <w:b/>
          <w:bCs/>
          <w:szCs w:val="22"/>
          <w:lang w:val="pl-PL"/>
        </w:rPr>
        <w:t>nia</w:t>
      </w:r>
    </w:p>
    <w:p w14:paraId="33559095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96" w14:textId="075727C2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Produkt należy umieścić </w:t>
      </w:r>
      <w:r w:rsidRPr="00C615E5">
        <w:rPr>
          <w:szCs w:val="22"/>
          <w:lang w:val="pl-PL"/>
        </w:rPr>
        <w:t>w</w:t>
      </w:r>
      <w:r w:rsidRPr="00ED7F4F">
        <w:rPr>
          <w:szCs w:val="22"/>
          <w:lang w:val="pl-PL"/>
        </w:rPr>
        <w:t xml:space="preserve"> </w:t>
      </w:r>
      <w:proofErr w:type="spellStart"/>
      <w:r w:rsidRPr="00ED7F4F">
        <w:rPr>
          <w:szCs w:val="22"/>
          <w:lang w:val="pl-PL"/>
        </w:rPr>
        <w:t>wylotku</w:t>
      </w:r>
      <w:proofErr w:type="spellEnd"/>
      <w:r w:rsidRPr="00ED7F4F">
        <w:rPr>
          <w:szCs w:val="22"/>
          <w:lang w:val="pl-PL"/>
        </w:rPr>
        <w:t xml:space="preserve"> ula. </w:t>
      </w:r>
    </w:p>
    <w:p w14:paraId="33559097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Należy stosować po dwa paski na standardowy ul. </w:t>
      </w:r>
    </w:p>
    <w:p w14:paraId="33559098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u w:val="single"/>
          <w:lang w:val="pl-PL"/>
        </w:rPr>
      </w:pPr>
    </w:p>
    <w:p w14:paraId="33559099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u w:val="single"/>
          <w:lang w:val="pl-PL" w:eastAsia="de-DE"/>
        </w:rPr>
      </w:pPr>
      <w:r w:rsidRPr="00ED7F4F">
        <w:rPr>
          <w:szCs w:val="22"/>
          <w:u w:val="single"/>
          <w:lang w:val="pl-PL" w:eastAsia="de-DE"/>
        </w:rPr>
        <w:t xml:space="preserve">Stosowanie pasków </w:t>
      </w:r>
      <w:r w:rsidRPr="00ED7F4F">
        <w:rPr>
          <w:szCs w:val="22"/>
          <w:u w:val="single"/>
          <w:lang w:val="pl-PL"/>
        </w:rPr>
        <w:t>do umieszczenia w ulu</w:t>
      </w:r>
      <w:r w:rsidRPr="00ED7F4F">
        <w:rPr>
          <w:szCs w:val="22"/>
          <w:u w:val="single"/>
          <w:lang w:val="pl-PL" w:eastAsia="de-DE"/>
        </w:rPr>
        <w:t>:</w:t>
      </w:r>
    </w:p>
    <w:p w14:paraId="3355909A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9B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Leczenie należy rozpocząć krótko po zakończeniu </w:t>
      </w:r>
      <w:r>
        <w:rPr>
          <w:szCs w:val="22"/>
          <w:lang w:val="pl-PL"/>
        </w:rPr>
        <w:t xml:space="preserve">okresu </w:t>
      </w:r>
      <w:proofErr w:type="spellStart"/>
      <w:r>
        <w:rPr>
          <w:szCs w:val="22"/>
          <w:lang w:val="pl-PL"/>
        </w:rPr>
        <w:t>pożytkowego</w:t>
      </w:r>
      <w:proofErr w:type="spellEnd"/>
      <w:r w:rsidRPr="00ED7F4F">
        <w:rPr>
          <w:szCs w:val="22"/>
          <w:lang w:val="pl-PL"/>
        </w:rPr>
        <w:t xml:space="preserve"> i odbiorze miodu, aby zapewnić odpowiednią aktywność lotną pszczół dla uzyskania oczekiwanych efektów leczenia i przezimowania pszczół. Leczenie należy prowadzić przez co najmniej 9 tygodni do zakończenia aktywności lotnej, ale nie dłużej niż przez 4 miesiące. W przypadku ciągłego opadu roztoczy przez 9 tygodni, leczenie należy kontynuować. W ten sposób leczenie powinno objąć kluczową fazę potencjalnego poziomego transferu roztoczy, np. przez kradzież. Postęp leczenia powinien być monitorowany, tak jak wspomniano w punkcie 4.4.</w:t>
      </w:r>
    </w:p>
    <w:p w14:paraId="3355909C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 </w:t>
      </w:r>
    </w:p>
    <w:p w14:paraId="3355909D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Pasek należy umieścić przy wlocie do ula w taki sposób, aby pszczoły mogły wlatywać do ula lub opuszczać go wyłącznie przez otwory paska. Powierzchnia całkowita i otwory paska nie powinny być zakryte, aby </w:t>
      </w:r>
      <w:r w:rsidRPr="00ED7F4F">
        <w:rPr>
          <w:szCs w:val="22"/>
          <w:lang w:val="pl-PL"/>
        </w:rPr>
        <w:lastRenderedPageBreak/>
        <w:t>zapewnić kontakt pszczół z paskiem i odpowiednią wentylację ula. Paski są zaprojektowane w sposób, który nie zakłóca usuwania martwych osobników. Pasków nie należy przycinać.</w:t>
      </w:r>
    </w:p>
    <w:p w14:paraId="3355909E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9F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Opakowanie zawiera wyłącznie paski do umieszczenia we wlocie do ula. W zależności od typu ula i rozmiaru wejścia do zamocowania paska niezbędne mogą być inne narzędzia, np. pinezki, zszywki, gwoździe lub klocki drewna. Paski można mocować w różny sposób, wewnątrz i na zewnątrz ula. </w:t>
      </w:r>
    </w:p>
    <w:p w14:paraId="335590A0" w14:textId="77777777" w:rsidR="007F2B14" w:rsidRPr="00ED7F4F" w:rsidRDefault="007F2B14" w:rsidP="00ED7F4F">
      <w:pPr>
        <w:rPr>
          <w:szCs w:val="22"/>
          <w:lang w:val="pl-PL"/>
        </w:rPr>
      </w:pPr>
    </w:p>
    <w:p w14:paraId="335590A1" w14:textId="77777777" w:rsidR="007F2B14" w:rsidRPr="00ED7F4F" w:rsidRDefault="007F2B14" w:rsidP="00ED7F4F">
      <w:pPr>
        <w:rPr>
          <w:szCs w:val="22"/>
          <w:lang w:val="pl-PL"/>
        </w:rPr>
      </w:pPr>
      <w:r w:rsidRPr="00ED7F4F">
        <w:rPr>
          <w:szCs w:val="22"/>
          <w:lang w:val="pl-PL"/>
        </w:rPr>
        <w:t>W przypadku ula z szerokim wejściem, we wnętrzu można umieścić równolegle dwa paski (patrz Rys. 3</w:t>
      </w:r>
      <w:proofErr w:type="gramStart"/>
      <w:r w:rsidRPr="00ED7F4F">
        <w:rPr>
          <w:szCs w:val="22"/>
          <w:lang w:val="pl-PL"/>
        </w:rPr>
        <w:t>a,b</w:t>
      </w:r>
      <w:proofErr w:type="gramEnd"/>
      <w:r w:rsidRPr="00ED7F4F">
        <w:rPr>
          <w:szCs w:val="22"/>
          <w:lang w:val="pl-PL"/>
        </w:rPr>
        <w:t xml:space="preserve"> - przykłady instalacji w ulach </w:t>
      </w:r>
      <w:proofErr w:type="spellStart"/>
      <w:r w:rsidRPr="00ED7F4F">
        <w:rPr>
          <w:szCs w:val="22"/>
          <w:lang w:val="pl-PL"/>
        </w:rPr>
        <w:t>Boczonadiego</w:t>
      </w:r>
      <w:proofErr w:type="spellEnd"/>
      <w:r w:rsidRPr="00ED7F4F">
        <w:rPr>
          <w:szCs w:val="22"/>
          <w:lang w:val="pl-PL"/>
        </w:rPr>
        <w:t xml:space="preserve">, </w:t>
      </w:r>
      <w:proofErr w:type="spellStart"/>
      <w:r w:rsidRPr="00ED7F4F">
        <w:rPr>
          <w:szCs w:val="22"/>
          <w:lang w:val="pl-PL"/>
        </w:rPr>
        <w:t>Dadanta</w:t>
      </w:r>
      <w:proofErr w:type="spellEnd"/>
      <w:r w:rsidRPr="00ED7F4F">
        <w:rPr>
          <w:szCs w:val="22"/>
          <w:lang w:val="pl-PL"/>
        </w:rPr>
        <w:t xml:space="preserve">, niemieckim znormalizowanym, </w:t>
      </w:r>
      <w:proofErr w:type="spellStart"/>
      <w:r w:rsidRPr="00ED7F4F">
        <w:rPr>
          <w:szCs w:val="22"/>
          <w:lang w:val="pl-PL"/>
        </w:rPr>
        <w:t>Langstroth</w:t>
      </w:r>
      <w:proofErr w:type="spellEnd"/>
      <w:r w:rsidRPr="00ED7F4F">
        <w:rPr>
          <w:szCs w:val="22"/>
          <w:lang w:val="pl-PL"/>
        </w:rPr>
        <w:t xml:space="preserve">, </w:t>
      </w:r>
      <w:proofErr w:type="spellStart"/>
      <w:r w:rsidRPr="00ED7F4F">
        <w:rPr>
          <w:szCs w:val="22"/>
          <w:lang w:val="pl-PL"/>
        </w:rPr>
        <w:t>Simplex</w:t>
      </w:r>
      <w:proofErr w:type="spellEnd"/>
      <w:r w:rsidRPr="00ED7F4F">
        <w:rPr>
          <w:szCs w:val="22"/>
          <w:lang w:val="pl-PL"/>
        </w:rPr>
        <w:t xml:space="preserve">, </w:t>
      </w:r>
      <w:proofErr w:type="spellStart"/>
      <w:r w:rsidRPr="00ED7F4F">
        <w:rPr>
          <w:szCs w:val="22"/>
          <w:lang w:val="pl-PL"/>
        </w:rPr>
        <w:t>Spaar</w:t>
      </w:r>
      <w:proofErr w:type="spellEnd"/>
      <w:r w:rsidRPr="00ED7F4F">
        <w:rPr>
          <w:szCs w:val="22"/>
          <w:lang w:val="pl-PL"/>
        </w:rPr>
        <w:t xml:space="preserve">-Kast, </w:t>
      </w:r>
      <w:proofErr w:type="spellStart"/>
      <w:r w:rsidRPr="00ED7F4F">
        <w:rPr>
          <w:szCs w:val="22"/>
          <w:lang w:val="pl-PL"/>
        </w:rPr>
        <w:t>Zandera</w:t>
      </w:r>
      <w:proofErr w:type="spellEnd"/>
      <w:r w:rsidRPr="00ED7F4F">
        <w:rPr>
          <w:szCs w:val="22"/>
          <w:lang w:val="pl-PL"/>
        </w:rPr>
        <w:t xml:space="preserve"> i im podobnym).</w:t>
      </w:r>
    </w:p>
    <w:p w14:paraId="335590A2" w14:textId="77777777" w:rsidR="007F2B14" w:rsidRPr="00ED7F4F" w:rsidRDefault="007F2B14" w:rsidP="00ED7F4F">
      <w:pPr>
        <w:rPr>
          <w:szCs w:val="22"/>
          <w:lang w:val="pl-PL"/>
        </w:rPr>
      </w:pPr>
    </w:p>
    <w:p w14:paraId="335590A3" w14:textId="77777777" w:rsidR="007F2B14" w:rsidRPr="00ED7F4F" w:rsidRDefault="007F2B14" w:rsidP="00ED7F4F">
      <w:pPr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W przypadku uli z mniejszym wejściem, paski można zainstalować przed wejściem w formie prostopadłościanu (patrz Rys. 3c - przykład instalacji w ulu </w:t>
      </w:r>
      <w:proofErr w:type="spellStart"/>
      <w:r w:rsidRPr="00ED7F4F">
        <w:rPr>
          <w:szCs w:val="22"/>
          <w:lang w:val="pl-PL"/>
        </w:rPr>
        <w:t>Layensa</w:t>
      </w:r>
      <w:proofErr w:type="spellEnd"/>
      <w:r w:rsidRPr="00ED7F4F">
        <w:rPr>
          <w:szCs w:val="22"/>
          <w:lang w:val="pl-PL"/>
        </w:rPr>
        <w:t>, ulu A-Ž i im podobnym).</w:t>
      </w:r>
    </w:p>
    <w:p w14:paraId="335590A4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A5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Przykłady są zilustrowane poniżej.</w:t>
      </w:r>
    </w:p>
    <w:p w14:paraId="335590A6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A7" w14:textId="77777777" w:rsidR="007F2B14" w:rsidRPr="00ED7F4F" w:rsidRDefault="00000000" w:rsidP="00ED7F4F">
      <w:pPr>
        <w:tabs>
          <w:tab w:val="clear" w:pos="567"/>
        </w:tabs>
        <w:spacing w:line="240" w:lineRule="auto"/>
        <w:rPr>
          <w:szCs w:val="22"/>
          <w:lang w:val="pl-PL" w:eastAsia="de-DE"/>
        </w:rPr>
      </w:pPr>
      <w:r>
        <w:rPr>
          <w:noProof/>
          <w:szCs w:val="22"/>
          <w:lang w:val="pl-PL" w:eastAsia="pl-PL"/>
        </w:rPr>
        <w:pict w14:anchorId="33559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4pt;height:328.2pt;visibility:visible">
            <v:imagedata r:id="rId10" o:title=""/>
          </v:shape>
        </w:pict>
      </w:r>
    </w:p>
    <w:p w14:paraId="335590A8" w14:textId="643970D1" w:rsidR="007F2B14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16FA364" w14:textId="77777777" w:rsidR="0042410D" w:rsidRPr="00ED7F4F" w:rsidRDefault="0042410D" w:rsidP="0042410D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Paski raz użyte nie mogą być stosowane ponownie.</w:t>
      </w:r>
    </w:p>
    <w:p w14:paraId="0AA9FF36" w14:textId="77777777" w:rsidR="0042410D" w:rsidRPr="00ED7F4F" w:rsidRDefault="0042410D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A9" w14:textId="77777777" w:rsidR="007F2B14" w:rsidRPr="00ED7F4F" w:rsidRDefault="007F2B14" w:rsidP="00D77502">
      <w:pPr>
        <w:pStyle w:val="BodyTextIndent"/>
        <w:keepNext/>
        <w:keepLines/>
        <w:rPr>
          <w:szCs w:val="22"/>
          <w:lang w:val="pl-PL"/>
        </w:rPr>
      </w:pPr>
      <w:r w:rsidRPr="00ED7F4F">
        <w:rPr>
          <w:bCs/>
          <w:szCs w:val="22"/>
          <w:lang w:val="pl-PL"/>
        </w:rPr>
        <w:t>4.10</w:t>
      </w:r>
      <w:r w:rsidRPr="00ED7F4F">
        <w:rPr>
          <w:bCs/>
          <w:szCs w:val="22"/>
          <w:lang w:val="pl-PL"/>
        </w:rPr>
        <w:tab/>
        <w:t>Przedawkowanie (objawy, sposób postępowania przy udzielaniu natychmiastowej pomocy, odtrutki), jeśli konieczne</w:t>
      </w:r>
    </w:p>
    <w:p w14:paraId="335590AA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AB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Ze względu na charakter pasków, przedawkowanie jest mało prawdopodobne i nie należy oczekiwać jego objawów. </w:t>
      </w:r>
    </w:p>
    <w:p w14:paraId="335590AC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AD" w14:textId="77777777" w:rsidR="007F2B14" w:rsidRPr="00ED7F4F" w:rsidRDefault="007F2B14" w:rsidP="00ED7F4F">
      <w:pPr>
        <w:keepNext/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4.11</w:t>
      </w:r>
      <w:r w:rsidRPr="00ED7F4F">
        <w:rPr>
          <w:b/>
          <w:bCs/>
          <w:szCs w:val="22"/>
          <w:lang w:val="pl-PL"/>
        </w:rPr>
        <w:tab/>
        <w:t>Okres (-y) karencji</w:t>
      </w:r>
    </w:p>
    <w:p w14:paraId="335590AE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AF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Miód: zero dni.</w:t>
      </w:r>
    </w:p>
    <w:p w14:paraId="335590B0" w14:textId="120E311B" w:rsidR="007F2B14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Nie stosować w </w:t>
      </w:r>
      <w:r>
        <w:rPr>
          <w:szCs w:val="22"/>
          <w:lang w:val="pl-PL"/>
        </w:rPr>
        <w:t xml:space="preserve">okresie </w:t>
      </w:r>
      <w:proofErr w:type="spellStart"/>
      <w:r>
        <w:rPr>
          <w:szCs w:val="22"/>
          <w:lang w:val="pl-PL"/>
        </w:rPr>
        <w:t>pożytkowym</w:t>
      </w:r>
      <w:proofErr w:type="spellEnd"/>
    </w:p>
    <w:p w14:paraId="457E925B" w14:textId="77777777" w:rsidR="0042410D" w:rsidRPr="00ED7F4F" w:rsidRDefault="0042410D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B1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lastRenderedPageBreak/>
        <w:t>5.</w:t>
      </w:r>
      <w:r w:rsidRPr="00ED7F4F">
        <w:rPr>
          <w:b/>
          <w:bCs/>
          <w:szCs w:val="22"/>
          <w:lang w:val="pl-PL"/>
        </w:rPr>
        <w:tab/>
        <w:t>WŁAŚCIWOŚCI FARMAKOLOGICZNE</w:t>
      </w:r>
      <w:r w:rsidRPr="00ED7F4F">
        <w:rPr>
          <w:szCs w:val="22"/>
          <w:lang w:val="pl-PL"/>
        </w:rPr>
        <w:t xml:space="preserve"> </w:t>
      </w:r>
    </w:p>
    <w:p w14:paraId="335590B2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B3" w14:textId="359CE02B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Grupa farmakoterapeutyczna: Pr</w:t>
      </w:r>
      <w:r w:rsidR="00141F0C">
        <w:rPr>
          <w:szCs w:val="22"/>
          <w:lang w:val="pl-PL"/>
        </w:rPr>
        <w:t>odukty</w:t>
      </w:r>
      <w:r w:rsidRPr="00ED7F4F">
        <w:rPr>
          <w:szCs w:val="22"/>
          <w:lang w:val="pl-PL"/>
        </w:rPr>
        <w:t xml:space="preserve"> przeciwpasożytnicze do stosowania zewnętrznego, w tym owadobójcze, pyretryny i </w:t>
      </w:r>
      <w:proofErr w:type="spellStart"/>
      <w:r w:rsidRPr="00ED7F4F">
        <w:rPr>
          <w:szCs w:val="22"/>
          <w:lang w:val="pl-PL"/>
        </w:rPr>
        <w:t>pyretroidy</w:t>
      </w:r>
      <w:proofErr w:type="spellEnd"/>
      <w:r w:rsidRPr="00ED7F4F">
        <w:rPr>
          <w:szCs w:val="22"/>
          <w:lang w:val="pl-PL"/>
        </w:rPr>
        <w:t xml:space="preserve">. </w:t>
      </w:r>
    </w:p>
    <w:p w14:paraId="335590B4" w14:textId="3439400B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Kod </w:t>
      </w:r>
      <w:proofErr w:type="spellStart"/>
      <w:r w:rsidRPr="00ED7F4F">
        <w:rPr>
          <w:szCs w:val="22"/>
          <w:lang w:val="pl-PL"/>
        </w:rPr>
        <w:t>ATC</w:t>
      </w:r>
      <w:r w:rsidR="00CE2C8D">
        <w:rPr>
          <w:szCs w:val="22"/>
          <w:lang w:val="pl-PL"/>
        </w:rPr>
        <w:t>_</w:t>
      </w:r>
      <w:r w:rsidRPr="00ED7F4F">
        <w:rPr>
          <w:szCs w:val="22"/>
          <w:lang w:val="pl-PL"/>
        </w:rPr>
        <w:t>vet</w:t>
      </w:r>
      <w:proofErr w:type="spellEnd"/>
      <w:r w:rsidRPr="00ED7F4F">
        <w:rPr>
          <w:szCs w:val="22"/>
          <w:lang w:val="pl-PL"/>
        </w:rPr>
        <w:t>: QP53AC05.</w:t>
      </w:r>
    </w:p>
    <w:p w14:paraId="335590B5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B6" w14:textId="77777777" w:rsidR="007F2B14" w:rsidRPr="00ED7F4F" w:rsidRDefault="007F2B14" w:rsidP="00ED7F4F">
      <w:pPr>
        <w:keepNext/>
        <w:tabs>
          <w:tab w:val="clear" w:pos="567"/>
        </w:tabs>
        <w:spacing w:line="240" w:lineRule="auto"/>
        <w:rPr>
          <w:b/>
          <w:szCs w:val="22"/>
          <w:lang w:val="pl-PL"/>
        </w:rPr>
      </w:pPr>
      <w:r w:rsidRPr="00ED7F4F">
        <w:rPr>
          <w:b/>
          <w:bCs/>
          <w:szCs w:val="22"/>
          <w:lang w:val="pl-PL"/>
        </w:rPr>
        <w:t>5.1</w:t>
      </w:r>
      <w:r w:rsidRPr="00ED7F4F">
        <w:rPr>
          <w:b/>
          <w:bCs/>
          <w:szCs w:val="22"/>
          <w:lang w:val="pl-PL"/>
        </w:rPr>
        <w:tab/>
        <w:t>Właściwości farmakodynamiczne</w:t>
      </w:r>
    </w:p>
    <w:p w14:paraId="335590B7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B8" w14:textId="586138F1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proofErr w:type="spellStart"/>
      <w:r w:rsidRPr="00ED7F4F">
        <w:rPr>
          <w:color w:val="000000"/>
          <w:szCs w:val="22"/>
          <w:lang w:val="pl-PL"/>
        </w:rPr>
        <w:t>Flumetryna</w:t>
      </w:r>
      <w:proofErr w:type="spellEnd"/>
      <w:r w:rsidRPr="00ED7F4F">
        <w:rPr>
          <w:color w:val="000000"/>
          <w:szCs w:val="22"/>
          <w:lang w:val="pl-PL"/>
        </w:rPr>
        <w:t xml:space="preserve"> jest substancją zwalczającą zewnętrzne pasożyty </w:t>
      </w:r>
      <w:r w:rsidRPr="00ED7F4F">
        <w:rPr>
          <w:szCs w:val="22"/>
          <w:lang w:val="pl-PL"/>
        </w:rPr>
        <w:t xml:space="preserve">należącą do </w:t>
      </w:r>
      <w:r w:rsidRPr="00ED7F4F">
        <w:rPr>
          <w:color w:val="000000"/>
          <w:szCs w:val="22"/>
          <w:lang w:val="pl-PL"/>
        </w:rPr>
        <w:t xml:space="preserve">grupy syntetycznych </w:t>
      </w:r>
      <w:proofErr w:type="spellStart"/>
      <w:r w:rsidRPr="00ED7F4F">
        <w:rPr>
          <w:color w:val="000000"/>
          <w:szCs w:val="22"/>
          <w:lang w:val="pl-PL"/>
        </w:rPr>
        <w:t>pyretroidów</w:t>
      </w:r>
      <w:proofErr w:type="spellEnd"/>
      <w:r w:rsidRPr="00ED7F4F">
        <w:rPr>
          <w:color w:val="000000"/>
          <w:szCs w:val="22"/>
          <w:lang w:val="pl-PL"/>
        </w:rPr>
        <w:t>.</w:t>
      </w:r>
      <w:r w:rsidRPr="00ED7F4F">
        <w:rPr>
          <w:szCs w:val="22"/>
          <w:lang w:val="pl-PL"/>
        </w:rPr>
        <w:t xml:space="preserve"> Zgodnie ze stanem obecnej wiedzy</w:t>
      </w:r>
      <w:r w:rsidRPr="00ED7F4F">
        <w:rPr>
          <w:color w:val="000000"/>
          <w:szCs w:val="22"/>
          <w:lang w:val="pl-PL"/>
        </w:rPr>
        <w:t xml:space="preserve">, syntetyczne </w:t>
      </w:r>
      <w:proofErr w:type="spellStart"/>
      <w:r w:rsidRPr="00ED7F4F">
        <w:rPr>
          <w:color w:val="000000"/>
          <w:szCs w:val="22"/>
          <w:lang w:val="pl-PL"/>
        </w:rPr>
        <w:t>pyretroidy</w:t>
      </w:r>
      <w:proofErr w:type="spellEnd"/>
      <w:r w:rsidRPr="00ED7F4F">
        <w:rPr>
          <w:color w:val="000000"/>
          <w:szCs w:val="22"/>
          <w:lang w:val="pl-PL"/>
        </w:rPr>
        <w:t xml:space="preserve"> zakłócają działanie kanałów sodowych w osłonkach komórek nerwowych, w stanie wzbudzenia, powodując długotrwały ciąg powtarzalnych stymulacji, które ostatecznie doprowadzają do śmierci pasożyta. </w:t>
      </w:r>
      <w:r w:rsidRPr="00ED7F4F">
        <w:rPr>
          <w:szCs w:val="22"/>
          <w:lang w:val="pl-PL"/>
        </w:rPr>
        <w:t xml:space="preserve">Grupa α-cyjanowa w grupie funkcyjnej </w:t>
      </w:r>
      <w:proofErr w:type="spellStart"/>
      <w:r w:rsidRPr="00ED7F4F">
        <w:rPr>
          <w:szCs w:val="22"/>
          <w:lang w:val="pl-PL"/>
        </w:rPr>
        <w:t>fenoksy-fluorobenzylu</w:t>
      </w:r>
      <w:proofErr w:type="spellEnd"/>
      <w:r w:rsidRPr="00ED7F4F">
        <w:rPr>
          <w:szCs w:val="22"/>
          <w:lang w:val="pl-PL"/>
        </w:rPr>
        <w:t xml:space="preserve"> jest uznawana za odpowiedzialną za długotrwałe przedłużenie przenikalności sodu. W badaniach dotyczących zależności pomiędzy budową a aktywnością szeregu </w:t>
      </w:r>
      <w:proofErr w:type="spellStart"/>
      <w:r w:rsidRPr="00ED7F4F">
        <w:rPr>
          <w:szCs w:val="22"/>
          <w:lang w:val="pl-PL"/>
        </w:rPr>
        <w:t>pyretroidów</w:t>
      </w:r>
      <w:proofErr w:type="spellEnd"/>
      <w:r w:rsidRPr="00ED7F4F">
        <w:rPr>
          <w:szCs w:val="22"/>
          <w:lang w:val="pl-PL"/>
        </w:rPr>
        <w:t xml:space="preserve"> zaobserwowano zakłócanie przez nie aktywności receptorów o określonej strukturze chiralnej, powodujące w konsekwencji wybiórcze działanie tych substancji na pasożyty zewnętrzne. W przypadku omawianej grupy związków chemicznych nie zaobserwowano działania przeciw-</w:t>
      </w:r>
      <w:proofErr w:type="spellStart"/>
      <w:r w:rsidRPr="00ED7F4F">
        <w:rPr>
          <w:szCs w:val="22"/>
          <w:lang w:val="pl-PL"/>
        </w:rPr>
        <w:t>cholinesterazowego</w:t>
      </w:r>
      <w:proofErr w:type="spellEnd"/>
      <w:r w:rsidRPr="00ED7F4F">
        <w:rPr>
          <w:szCs w:val="22"/>
          <w:lang w:val="pl-PL"/>
        </w:rPr>
        <w:t xml:space="preserve">. Istnieją doniesienia o oporności roztoczy </w:t>
      </w:r>
      <w:proofErr w:type="spellStart"/>
      <w:r w:rsidRPr="00ED7F4F">
        <w:rPr>
          <w:szCs w:val="22"/>
          <w:lang w:val="pl-PL"/>
        </w:rPr>
        <w:t>Varroa</w:t>
      </w:r>
      <w:proofErr w:type="spellEnd"/>
      <w:r w:rsidRPr="00ED7F4F">
        <w:rPr>
          <w:szCs w:val="22"/>
          <w:lang w:val="pl-PL"/>
        </w:rPr>
        <w:t xml:space="preserve"> </w:t>
      </w:r>
      <w:proofErr w:type="spellStart"/>
      <w:r w:rsidRPr="00ED7F4F">
        <w:rPr>
          <w:szCs w:val="22"/>
          <w:lang w:val="pl-PL"/>
        </w:rPr>
        <w:t>destructor</w:t>
      </w:r>
      <w:proofErr w:type="spellEnd"/>
      <w:r w:rsidRPr="00ED7F4F">
        <w:rPr>
          <w:szCs w:val="22"/>
          <w:lang w:val="pl-PL"/>
        </w:rPr>
        <w:t xml:space="preserve"> na </w:t>
      </w:r>
      <w:proofErr w:type="spellStart"/>
      <w:r w:rsidRPr="00ED7F4F">
        <w:rPr>
          <w:szCs w:val="22"/>
          <w:lang w:val="pl-PL"/>
        </w:rPr>
        <w:t>pyretroidy</w:t>
      </w:r>
      <w:proofErr w:type="spellEnd"/>
      <w:r w:rsidRPr="00ED7F4F">
        <w:rPr>
          <w:szCs w:val="22"/>
          <w:lang w:val="pl-PL"/>
        </w:rPr>
        <w:t xml:space="preserve">. W niektórych przypadkach oporność przypisano ekspresji określonych enzymów detoksykacyjnych, ale najczęściej występującym mechanizmem rozwoju oporności wydają się być mutacje receptora docelowego, tzn. wymienionego wyżej kanału sodowego osłonek komórek nerwowych. W przeprowadzonych badaniach terenowych z wykorzystaniem rodzin pszczelich zarażonych przez </w:t>
      </w:r>
      <w:proofErr w:type="spellStart"/>
      <w:r w:rsidRPr="00ED7F4F">
        <w:rPr>
          <w:i/>
          <w:szCs w:val="22"/>
          <w:lang w:val="pl-PL"/>
        </w:rPr>
        <w:t>Varroa</w:t>
      </w:r>
      <w:proofErr w:type="spellEnd"/>
      <w:r w:rsidRPr="00ED7F4F">
        <w:rPr>
          <w:i/>
          <w:szCs w:val="22"/>
          <w:lang w:val="pl-PL"/>
        </w:rPr>
        <w:t xml:space="preserve"> </w:t>
      </w:r>
      <w:proofErr w:type="spellStart"/>
      <w:r w:rsidRPr="00ED7F4F">
        <w:rPr>
          <w:i/>
          <w:szCs w:val="22"/>
          <w:lang w:val="pl-PL"/>
        </w:rPr>
        <w:t>destructor</w:t>
      </w:r>
      <w:proofErr w:type="spellEnd"/>
      <w:r w:rsidRPr="00ED7F4F">
        <w:rPr>
          <w:szCs w:val="22"/>
          <w:lang w:val="pl-PL"/>
        </w:rPr>
        <w:t>, oceniane były genotypy pozostałych po leczeniu roztoczy (≤5% populacji roztoczy, ponieważ skuteczność wynosiła ≥95%) pod kątem obecności mutacji warunkujących odporność. Roztocza, u których wystąpiła taka mutacja</w:t>
      </w:r>
      <w:r>
        <w:rPr>
          <w:szCs w:val="22"/>
          <w:lang w:val="pl-PL"/>
        </w:rPr>
        <w:t xml:space="preserve"> </w:t>
      </w:r>
      <w:r w:rsidRPr="00ED7F4F">
        <w:rPr>
          <w:szCs w:val="22"/>
          <w:lang w:val="pl-PL"/>
        </w:rPr>
        <w:t xml:space="preserve">wykryto u około 50% rodzin pszczelich leczonych produktem i około 64% rodzin leczonych za pomocą innych dopuszczonych do obrotu </w:t>
      </w:r>
      <w:proofErr w:type="spellStart"/>
      <w:r w:rsidRPr="00ED7F4F">
        <w:rPr>
          <w:szCs w:val="22"/>
          <w:lang w:val="pl-PL"/>
        </w:rPr>
        <w:t>pyretroidów</w:t>
      </w:r>
      <w:proofErr w:type="spellEnd"/>
      <w:r w:rsidRPr="00ED7F4F">
        <w:rPr>
          <w:szCs w:val="22"/>
          <w:lang w:val="pl-PL"/>
        </w:rPr>
        <w:t xml:space="preserve">. Średni odsetek pozostałych po leczeniu homozygotycznych, opornych roztoczy w przeliczeniu na rodzinę wynosił około 34% w rodzinach leczonych produktem i 49% w rodzinach leczonych za pomocą innych dopuszczonych do obrotu </w:t>
      </w:r>
      <w:proofErr w:type="spellStart"/>
      <w:r w:rsidRPr="00ED7F4F">
        <w:rPr>
          <w:szCs w:val="22"/>
          <w:lang w:val="pl-PL"/>
        </w:rPr>
        <w:t>pyretroidów</w:t>
      </w:r>
      <w:proofErr w:type="spellEnd"/>
      <w:r w:rsidR="00CE2C8D">
        <w:rPr>
          <w:szCs w:val="22"/>
          <w:lang w:val="pl-PL"/>
        </w:rPr>
        <w:t>.</w:t>
      </w:r>
      <w:r w:rsidRPr="00ED7F4F">
        <w:rPr>
          <w:szCs w:val="22"/>
          <w:lang w:val="pl-PL"/>
        </w:rPr>
        <w:t xml:space="preserve"> W związku z tym leczenie powinno być stosowane naprzemiennie (jak opisano w punkcie 4.4), w celu </w:t>
      </w:r>
      <w:r w:rsidRPr="00C615E5">
        <w:rPr>
          <w:szCs w:val="22"/>
          <w:lang w:val="pl-PL"/>
        </w:rPr>
        <w:t>zapobieżenia dalszej selekcji oporności.</w:t>
      </w:r>
    </w:p>
    <w:p w14:paraId="335590B9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BA" w14:textId="77777777" w:rsidR="007F2B14" w:rsidRPr="00ED7F4F" w:rsidRDefault="007F2B14" w:rsidP="00ED7F4F">
      <w:pPr>
        <w:keepNext/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5.2</w:t>
      </w:r>
      <w:r w:rsidRPr="00ED7F4F">
        <w:rPr>
          <w:b/>
          <w:bCs/>
          <w:szCs w:val="22"/>
          <w:lang w:val="pl-PL"/>
        </w:rPr>
        <w:tab/>
        <w:t>Właściwości farmakokinetyczne</w:t>
      </w:r>
    </w:p>
    <w:p w14:paraId="335590BB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BC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Pszczoły są wystawione na działanie substancji czynnej poprzez kontakt bezpośredni w trakcie wlatywania i wylatywania z ula, oraz kontakt pośredni poprzez interakcje społeczne wewnątrz ula. Substancja czynna nie ulega parowaniu. </w:t>
      </w:r>
    </w:p>
    <w:p w14:paraId="335590BD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BE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BF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6.</w:t>
      </w:r>
      <w:r w:rsidRPr="00ED7F4F">
        <w:rPr>
          <w:b/>
          <w:bCs/>
          <w:szCs w:val="22"/>
          <w:lang w:val="pl-PL"/>
        </w:rPr>
        <w:tab/>
        <w:t>DANE FARMACEUTYCZNE</w:t>
      </w:r>
    </w:p>
    <w:p w14:paraId="335590C0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C1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b/>
          <w:szCs w:val="22"/>
          <w:lang w:val="pl-PL"/>
        </w:rPr>
      </w:pPr>
      <w:r w:rsidRPr="00ED7F4F">
        <w:rPr>
          <w:b/>
          <w:bCs/>
          <w:szCs w:val="22"/>
          <w:lang w:val="pl-PL"/>
        </w:rPr>
        <w:t>6.1</w:t>
      </w:r>
      <w:r w:rsidRPr="00ED7F4F">
        <w:rPr>
          <w:b/>
          <w:bCs/>
          <w:szCs w:val="22"/>
          <w:lang w:val="pl-PL"/>
        </w:rPr>
        <w:tab/>
        <w:t>Wykaz substancji pomocniczych</w:t>
      </w:r>
    </w:p>
    <w:p w14:paraId="335590C2" w14:textId="77777777" w:rsidR="007F2B14" w:rsidRPr="00ED7F4F" w:rsidRDefault="007F2B14" w:rsidP="00ED7F4F">
      <w:pPr>
        <w:widowControl w:val="0"/>
        <w:tabs>
          <w:tab w:val="left" w:pos="2835"/>
          <w:tab w:val="left" w:pos="6804"/>
        </w:tabs>
        <w:autoSpaceDE w:val="0"/>
        <w:autoSpaceDN w:val="0"/>
        <w:adjustRightInd w:val="0"/>
        <w:rPr>
          <w:szCs w:val="22"/>
          <w:lang w:val="pl-PL"/>
        </w:rPr>
      </w:pPr>
    </w:p>
    <w:p w14:paraId="273583C6" w14:textId="016D897C" w:rsidR="00836A3D" w:rsidRPr="00ED7F4F" w:rsidRDefault="007F2B14" w:rsidP="00ED7F4F">
      <w:pPr>
        <w:widowControl w:val="0"/>
        <w:tabs>
          <w:tab w:val="left" w:pos="2835"/>
          <w:tab w:val="left" w:pos="6804"/>
        </w:tabs>
        <w:autoSpaceDE w:val="0"/>
        <w:autoSpaceDN w:val="0"/>
        <w:adjustRightInd w:val="0"/>
        <w:rPr>
          <w:szCs w:val="22"/>
          <w:lang w:val="pl-PL"/>
        </w:rPr>
      </w:pPr>
      <w:proofErr w:type="spellStart"/>
      <w:r>
        <w:rPr>
          <w:szCs w:val="22"/>
          <w:lang w:val="pl-PL"/>
        </w:rPr>
        <w:t>A</w:t>
      </w:r>
      <w:r w:rsidRPr="00ED7F4F">
        <w:rPr>
          <w:szCs w:val="22"/>
          <w:lang w:val="pl-PL"/>
        </w:rPr>
        <w:t>dypinian</w:t>
      </w:r>
      <w:proofErr w:type="spellEnd"/>
      <w:r w:rsidRPr="00ED7F4F">
        <w:rPr>
          <w:szCs w:val="22"/>
          <w:lang w:val="pl-PL"/>
        </w:rPr>
        <w:t xml:space="preserve"> </w:t>
      </w:r>
      <w:proofErr w:type="spellStart"/>
      <w:r>
        <w:rPr>
          <w:szCs w:val="22"/>
          <w:lang w:val="pl-PL"/>
        </w:rPr>
        <w:t>d</w:t>
      </w:r>
      <w:r w:rsidRPr="00ED7F4F">
        <w:rPr>
          <w:szCs w:val="22"/>
          <w:lang w:val="pl-PL"/>
        </w:rPr>
        <w:t>ibutylu</w:t>
      </w:r>
      <w:proofErr w:type="spellEnd"/>
      <w:r w:rsidRPr="00ED7F4F">
        <w:rPr>
          <w:szCs w:val="22"/>
          <w:lang w:val="pl-PL"/>
        </w:rPr>
        <w:t xml:space="preserve"> </w:t>
      </w:r>
      <w:r w:rsidRPr="00ED7F4F">
        <w:rPr>
          <w:szCs w:val="22"/>
          <w:lang w:val="pl-PL"/>
        </w:rPr>
        <w:br/>
      </w:r>
      <w:r w:rsidRPr="00ED7F4F">
        <w:rPr>
          <w:color w:val="000000"/>
          <w:szCs w:val="22"/>
          <w:lang w:val="pl-PL"/>
        </w:rPr>
        <w:t>Glikolu propylenowego</w:t>
      </w:r>
      <w:r w:rsidRPr="00ED7F4F">
        <w:rPr>
          <w:szCs w:val="22"/>
          <w:lang w:val="pl-PL"/>
        </w:rPr>
        <w:t xml:space="preserve"> </w:t>
      </w:r>
      <w:proofErr w:type="spellStart"/>
      <w:r w:rsidRPr="00ED7F4F">
        <w:rPr>
          <w:szCs w:val="22"/>
          <w:lang w:val="pl-PL"/>
        </w:rPr>
        <w:t>dikaprylokapronian</w:t>
      </w:r>
      <w:proofErr w:type="spellEnd"/>
    </w:p>
    <w:p w14:paraId="45F08187" w14:textId="1476F674" w:rsidR="00836A3D" w:rsidRPr="00ED7F4F" w:rsidRDefault="007F2B14" w:rsidP="00ED7F4F">
      <w:pPr>
        <w:widowControl w:val="0"/>
        <w:tabs>
          <w:tab w:val="left" w:pos="2835"/>
          <w:tab w:val="left" w:pos="6804"/>
        </w:tabs>
        <w:autoSpaceDE w:val="0"/>
        <w:autoSpaceDN w:val="0"/>
        <w:adjustRightInd w:val="0"/>
        <w:rPr>
          <w:szCs w:val="22"/>
          <w:lang w:val="pl-PL"/>
        </w:rPr>
      </w:pPr>
      <w:r>
        <w:rPr>
          <w:szCs w:val="22"/>
          <w:lang w:val="pl-PL"/>
        </w:rPr>
        <w:t>E</w:t>
      </w:r>
      <w:r w:rsidRPr="00ED7F4F">
        <w:rPr>
          <w:szCs w:val="22"/>
          <w:lang w:val="pl-PL"/>
        </w:rPr>
        <w:t xml:space="preserve">poksydowany </w:t>
      </w:r>
      <w:r>
        <w:rPr>
          <w:szCs w:val="22"/>
          <w:lang w:val="pl-PL"/>
        </w:rPr>
        <w:t>o</w:t>
      </w:r>
      <w:r w:rsidRPr="00ED7F4F">
        <w:rPr>
          <w:szCs w:val="22"/>
          <w:lang w:val="pl-PL"/>
        </w:rPr>
        <w:t xml:space="preserve">lej sojowy </w:t>
      </w:r>
      <w:r w:rsidRPr="00ED7F4F">
        <w:rPr>
          <w:szCs w:val="22"/>
          <w:lang w:val="pl-PL"/>
        </w:rPr>
        <w:br/>
        <w:t>Kwas stearynowy</w:t>
      </w:r>
      <w:r w:rsidRPr="00ED7F4F">
        <w:rPr>
          <w:szCs w:val="22"/>
          <w:lang w:val="pl-PL"/>
        </w:rPr>
        <w:br/>
        <w:t>Polichlorek winylu</w:t>
      </w:r>
    </w:p>
    <w:p w14:paraId="16152A19" w14:textId="139FF769" w:rsidR="00836A3D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Tytanu dwutlenek (E171)</w:t>
      </w:r>
    </w:p>
    <w:p w14:paraId="335590C6" w14:textId="77777777" w:rsidR="007F2B14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Żelaza tlenek żółty (E172)</w:t>
      </w:r>
    </w:p>
    <w:p w14:paraId="2DF54021" w14:textId="77777777" w:rsidR="00836A3D" w:rsidRPr="00ED7F4F" w:rsidRDefault="00836A3D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C7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C8" w14:textId="24D262F3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6.2</w:t>
      </w:r>
      <w:r w:rsidRPr="00ED7F4F">
        <w:rPr>
          <w:b/>
          <w:bCs/>
          <w:szCs w:val="22"/>
          <w:lang w:val="pl-PL"/>
        </w:rPr>
        <w:tab/>
      </w:r>
      <w:r w:rsidR="000F39AE" w:rsidRPr="00D77502">
        <w:rPr>
          <w:b/>
          <w:bCs/>
          <w:szCs w:val="22"/>
          <w:lang w:val="pl-PL"/>
        </w:rPr>
        <w:t xml:space="preserve">Główne </w:t>
      </w:r>
      <w:r w:rsidR="000F39AE">
        <w:rPr>
          <w:b/>
          <w:bCs/>
          <w:szCs w:val="22"/>
          <w:lang w:val="pl-PL"/>
        </w:rPr>
        <w:t>n</w:t>
      </w:r>
      <w:r w:rsidR="000F39AE" w:rsidRPr="00ED7F4F">
        <w:rPr>
          <w:b/>
          <w:bCs/>
          <w:szCs w:val="22"/>
          <w:lang w:val="pl-PL"/>
        </w:rPr>
        <w:t xml:space="preserve">iezgodności </w:t>
      </w:r>
      <w:r w:rsidRPr="00ED7F4F">
        <w:rPr>
          <w:b/>
          <w:bCs/>
          <w:szCs w:val="22"/>
          <w:lang w:val="pl-PL"/>
        </w:rPr>
        <w:t>farmaceutyczne</w:t>
      </w:r>
    </w:p>
    <w:p w14:paraId="335590C9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CA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Nieznane.</w:t>
      </w:r>
    </w:p>
    <w:p w14:paraId="335590CC" w14:textId="77777777" w:rsidR="00A20C29" w:rsidRPr="00ED7F4F" w:rsidRDefault="00A20C29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CD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6.3</w:t>
      </w:r>
      <w:r w:rsidRPr="00ED7F4F">
        <w:rPr>
          <w:b/>
          <w:bCs/>
          <w:szCs w:val="22"/>
          <w:lang w:val="pl-PL"/>
        </w:rPr>
        <w:tab/>
        <w:t>Okres ważności</w:t>
      </w:r>
    </w:p>
    <w:p w14:paraId="335590CE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CF" w14:textId="5888AD79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 xml:space="preserve">Okres ważności produktu leczniczego weterynaryjnego zapakowanego do sprzedaży: </w:t>
      </w:r>
      <w:r w:rsidR="00310CC7">
        <w:rPr>
          <w:szCs w:val="22"/>
          <w:lang w:val="pl-PL"/>
        </w:rPr>
        <w:t>5</w:t>
      </w:r>
      <w:r w:rsidRPr="00ED7F4F">
        <w:rPr>
          <w:szCs w:val="22"/>
          <w:lang w:val="pl-PL"/>
        </w:rPr>
        <w:t xml:space="preserve"> lat</w:t>
      </w:r>
    </w:p>
    <w:p w14:paraId="371544E9" w14:textId="77777777" w:rsidR="00D82FB6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lastRenderedPageBreak/>
        <w:t>Okres ważności po pierwszym otwarciu opakowania bezpośredniego: zużyć natychmiast.</w:t>
      </w:r>
    </w:p>
    <w:p w14:paraId="335590D0" w14:textId="0E73EEA6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Pozostałą część produktu należy usunąć.</w:t>
      </w:r>
    </w:p>
    <w:p w14:paraId="335590D1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D2" w14:textId="10971B2B" w:rsidR="007F2B14" w:rsidRPr="00ED7F4F" w:rsidRDefault="007F2B14" w:rsidP="00ED7F4F">
      <w:pPr>
        <w:rPr>
          <w:b/>
          <w:bCs/>
          <w:szCs w:val="22"/>
          <w:lang w:val="pl-PL"/>
        </w:rPr>
      </w:pPr>
      <w:r w:rsidRPr="00ED7F4F">
        <w:rPr>
          <w:b/>
          <w:bCs/>
          <w:szCs w:val="22"/>
          <w:lang w:val="pl-PL"/>
        </w:rPr>
        <w:t>6.4.</w:t>
      </w:r>
      <w:r w:rsidRPr="00ED7F4F">
        <w:rPr>
          <w:b/>
          <w:bCs/>
          <w:szCs w:val="22"/>
          <w:lang w:val="pl-PL"/>
        </w:rPr>
        <w:tab/>
        <w:t>Specjalne środki ostrożności podczas przechowywania</w:t>
      </w:r>
    </w:p>
    <w:p w14:paraId="335590D3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D4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Brak</w:t>
      </w:r>
      <w:r w:rsidRPr="00ED7F4F">
        <w:rPr>
          <w:szCs w:val="22"/>
          <w:lang w:val="pl-PL"/>
        </w:rPr>
        <w:t xml:space="preserve"> specjalnych środków ostrożności </w:t>
      </w:r>
      <w:r>
        <w:rPr>
          <w:szCs w:val="22"/>
          <w:lang w:val="pl-PL"/>
        </w:rPr>
        <w:t>dotyczących</w:t>
      </w:r>
      <w:r w:rsidRPr="00ED7F4F">
        <w:rPr>
          <w:szCs w:val="22"/>
          <w:lang w:val="pl-PL"/>
        </w:rPr>
        <w:t xml:space="preserve"> przechowywania.</w:t>
      </w:r>
    </w:p>
    <w:p w14:paraId="335590D5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D6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6.5</w:t>
      </w:r>
      <w:r w:rsidRPr="00ED7F4F">
        <w:rPr>
          <w:b/>
          <w:bCs/>
          <w:szCs w:val="22"/>
          <w:lang w:val="pl-PL"/>
        </w:rPr>
        <w:tab/>
        <w:t>Rodzaj i skład opakowania bezpośredniego</w:t>
      </w:r>
    </w:p>
    <w:p w14:paraId="335590D7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bCs/>
          <w:iCs/>
          <w:color w:val="000000"/>
          <w:szCs w:val="22"/>
          <w:lang w:val="pl-PL"/>
        </w:rPr>
      </w:pPr>
    </w:p>
    <w:p w14:paraId="335590D8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bCs/>
          <w:iCs/>
          <w:color w:val="000000"/>
          <w:szCs w:val="22"/>
          <w:lang w:val="pl-PL"/>
        </w:rPr>
      </w:pPr>
      <w:r w:rsidRPr="00ED7F4F">
        <w:rPr>
          <w:bCs/>
          <w:iCs/>
          <w:szCs w:val="22"/>
          <w:lang w:val="pl-PL"/>
        </w:rPr>
        <w:t>Torebka z</w:t>
      </w:r>
      <w:r>
        <w:rPr>
          <w:bCs/>
          <w:iCs/>
          <w:szCs w:val="22"/>
          <w:lang w:val="pl-PL"/>
        </w:rPr>
        <w:t xml:space="preserve"> folii</w:t>
      </w:r>
      <w:r w:rsidRPr="00ED7F4F">
        <w:rPr>
          <w:bCs/>
          <w:iCs/>
          <w:szCs w:val="22"/>
          <w:lang w:val="pl-PL"/>
        </w:rPr>
        <w:t xml:space="preserve"> </w:t>
      </w:r>
      <w:r>
        <w:rPr>
          <w:bCs/>
          <w:iCs/>
          <w:szCs w:val="22"/>
          <w:lang w:val="pl-PL"/>
        </w:rPr>
        <w:t>P</w:t>
      </w:r>
      <w:r w:rsidRPr="00ED7F4F">
        <w:rPr>
          <w:bCs/>
          <w:iCs/>
          <w:szCs w:val="22"/>
          <w:lang w:val="pl-PL"/>
        </w:rPr>
        <w:t>oliest</w:t>
      </w:r>
      <w:r>
        <w:rPr>
          <w:bCs/>
          <w:iCs/>
          <w:szCs w:val="22"/>
          <w:lang w:val="pl-PL"/>
        </w:rPr>
        <w:t>e</w:t>
      </w:r>
      <w:r w:rsidRPr="00ED7F4F">
        <w:rPr>
          <w:bCs/>
          <w:iCs/>
          <w:szCs w:val="22"/>
          <w:lang w:val="pl-PL"/>
        </w:rPr>
        <w:t>r/</w:t>
      </w:r>
      <w:r>
        <w:rPr>
          <w:bCs/>
          <w:iCs/>
          <w:szCs w:val="22"/>
          <w:lang w:val="pl-PL"/>
        </w:rPr>
        <w:t>A</w:t>
      </w:r>
      <w:r w:rsidRPr="00ED7F4F">
        <w:rPr>
          <w:bCs/>
          <w:iCs/>
          <w:szCs w:val="22"/>
          <w:lang w:val="pl-PL"/>
        </w:rPr>
        <w:t>luminium/</w:t>
      </w:r>
      <w:r>
        <w:rPr>
          <w:bCs/>
          <w:iCs/>
          <w:szCs w:val="22"/>
          <w:lang w:val="pl-PL"/>
        </w:rPr>
        <w:t>P</w:t>
      </w:r>
      <w:r w:rsidRPr="00ED7F4F">
        <w:rPr>
          <w:bCs/>
          <w:iCs/>
          <w:szCs w:val="22"/>
          <w:lang w:val="pl-PL"/>
        </w:rPr>
        <w:t>olietylen o niskiej gęstości</w:t>
      </w:r>
      <w:r w:rsidRPr="00ED7F4F">
        <w:rPr>
          <w:bCs/>
          <w:iCs/>
          <w:color w:val="000000"/>
          <w:szCs w:val="22"/>
          <w:lang w:val="pl-PL"/>
        </w:rPr>
        <w:t xml:space="preserve"> </w:t>
      </w:r>
    </w:p>
    <w:p w14:paraId="335590D9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bCs/>
          <w:iCs/>
          <w:color w:val="000000"/>
          <w:szCs w:val="22"/>
          <w:lang w:val="pl-PL"/>
        </w:rPr>
      </w:pPr>
    </w:p>
    <w:p w14:paraId="335590DA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bCs/>
          <w:iCs/>
          <w:color w:val="000000"/>
          <w:szCs w:val="22"/>
          <w:lang w:val="pl-PL"/>
        </w:rPr>
      </w:pPr>
      <w:r>
        <w:rPr>
          <w:bCs/>
          <w:iCs/>
          <w:color w:val="000000"/>
          <w:szCs w:val="22"/>
          <w:lang w:val="pl-PL"/>
        </w:rPr>
        <w:t>Wielkość</w:t>
      </w:r>
      <w:r w:rsidRPr="00ED7F4F">
        <w:rPr>
          <w:bCs/>
          <w:iCs/>
          <w:color w:val="000000"/>
          <w:szCs w:val="22"/>
          <w:lang w:val="pl-PL"/>
        </w:rPr>
        <w:t xml:space="preserve"> opakowania:</w:t>
      </w:r>
    </w:p>
    <w:p w14:paraId="335590DB" w14:textId="0FF9F154" w:rsidR="007F2B14" w:rsidRPr="00ED7F4F" w:rsidRDefault="007F2B14" w:rsidP="00ED7F4F">
      <w:pPr>
        <w:tabs>
          <w:tab w:val="clear" w:pos="567"/>
        </w:tabs>
        <w:spacing w:line="240" w:lineRule="auto"/>
        <w:rPr>
          <w:bCs/>
          <w:iCs/>
          <w:color w:val="000000"/>
          <w:szCs w:val="22"/>
          <w:lang w:val="pl-PL"/>
        </w:rPr>
      </w:pPr>
      <w:r w:rsidRPr="00ED7F4F">
        <w:rPr>
          <w:bCs/>
          <w:iCs/>
          <w:color w:val="000000"/>
          <w:szCs w:val="22"/>
          <w:lang w:val="pl-PL"/>
        </w:rPr>
        <w:t>Pudełko zawierające 1 torebkę foliową (10 pasków do umieszczenia w ulu)</w:t>
      </w:r>
    </w:p>
    <w:p w14:paraId="335590DC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bCs/>
          <w:iCs/>
          <w:color w:val="000000"/>
          <w:szCs w:val="22"/>
          <w:lang w:val="pl-PL"/>
        </w:rPr>
      </w:pPr>
      <w:r w:rsidRPr="00ED7F4F">
        <w:rPr>
          <w:bCs/>
          <w:iCs/>
          <w:color w:val="000000"/>
          <w:szCs w:val="22"/>
          <w:lang w:val="pl-PL"/>
        </w:rPr>
        <w:t>Pudełko zawierające 10 torebek foliowych (10</w:t>
      </w:r>
      <w:r>
        <w:rPr>
          <w:bCs/>
          <w:iCs/>
          <w:color w:val="000000"/>
          <w:szCs w:val="22"/>
          <w:lang w:val="pl-PL"/>
        </w:rPr>
        <w:t>0</w:t>
      </w:r>
      <w:r w:rsidRPr="00ED7F4F">
        <w:rPr>
          <w:bCs/>
          <w:iCs/>
          <w:color w:val="000000"/>
          <w:szCs w:val="22"/>
          <w:lang w:val="pl-PL"/>
        </w:rPr>
        <w:t xml:space="preserve"> pasków do umieszczenia w ulu)</w:t>
      </w:r>
    </w:p>
    <w:p w14:paraId="335590DD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bCs/>
          <w:iCs/>
          <w:color w:val="000000"/>
          <w:szCs w:val="22"/>
          <w:lang w:val="pl-PL"/>
        </w:rPr>
      </w:pPr>
    </w:p>
    <w:p w14:paraId="335590DE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Niektóre wielkości opakowań mogą nie być dostępne w obrocie.</w:t>
      </w:r>
    </w:p>
    <w:p w14:paraId="335590DF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E0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ind w:left="567" w:hanging="567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6.6</w:t>
      </w:r>
      <w:r w:rsidRPr="00ED7F4F">
        <w:rPr>
          <w:szCs w:val="22"/>
          <w:lang w:val="pl-PL"/>
        </w:rPr>
        <w:tab/>
      </w:r>
      <w:r w:rsidRPr="00ED7F4F">
        <w:rPr>
          <w:b/>
          <w:bCs/>
          <w:szCs w:val="22"/>
          <w:lang w:val="pl-PL"/>
        </w:rPr>
        <w:t>Specjalne środki ostrożności dotyczące usuwania niezużytego produktu leczniczego weterynaryjnego lub pochodzących z niego odpadów</w:t>
      </w:r>
    </w:p>
    <w:p w14:paraId="335590E1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bCs/>
          <w:iCs/>
          <w:color w:val="000000"/>
          <w:szCs w:val="22"/>
          <w:lang w:val="pl-PL"/>
        </w:rPr>
      </w:pPr>
    </w:p>
    <w:p w14:paraId="335590E2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i/>
          <w:szCs w:val="22"/>
          <w:lang w:val="pl-PL"/>
        </w:rPr>
      </w:pPr>
      <w:r w:rsidRPr="00ED7F4F">
        <w:rPr>
          <w:szCs w:val="22"/>
          <w:lang w:val="pl-PL"/>
        </w:rPr>
        <w:t>Niewykorzystany produkt leczniczy weterynaryjny lub jego odpady należy usunąć w sposób zgodny z obowiązującymi przepisami.</w:t>
      </w:r>
    </w:p>
    <w:p w14:paraId="335590E3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E4" w14:textId="4F55F096" w:rsidR="007F2B14" w:rsidRPr="00ED7F4F" w:rsidRDefault="007F2B14" w:rsidP="00ED7F4F">
      <w:pPr>
        <w:tabs>
          <w:tab w:val="clear" w:pos="567"/>
        </w:tabs>
        <w:spacing w:line="240" w:lineRule="auto"/>
        <w:rPr>
          <w:i/>
          <w:szCs w:val="22"/>
          <w:lang w:val="pl-PL"/>
        </w:rPr>
      </w:pPr>
      <w:r w:rsidRPr="00ED7F4F">
        <w:rPr>
          <w:szCs w:val="22"/>
          <w:lang w:val="pl-PL"/>
        </w:rPr>
        <w:t>Produkt (paski lub puste torebki) nie powinien się przedostawać do cieków wodnych, ponieważ może być niebezpieczny dla ryb i innych organizmów wodnych.</w:t>
      </w:r>
    </w:p>
    <w:p w14:paraId="335590E5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E6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E7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b/>
          <w:bCs/>
          <w:szCs w:val="22"/>
          <w:lang w:val="pl-PL"/>
        </w:rPr>
      </w:pPr>
      <w:r w:rsidRPr="00ED7F4F">
        <w:rPr>
          <w:b/>
          <w:bCs/>
          <w:szCs w:val="22"/>
          <w:lang w:val="pl-PL"/>
        </w:rPr>
        <w:t>7.</w:t>
      </w:r>
      <w:r w:rsidRPr="00ED7F4F">
        <w:rPr>
          <w:b/>
          <w:bCs/>
          <w:szCs w:val="22"/>
          <w:lang w:val="pl-PL"/>
        </w:rPr>
        <w:tab/>
        <w:t>NAZWA I ADRES PODMIOTU ODPOWIEDZIALNEGO</w:t>
      </w:r>
    </w:p>
    <w:p w14:paraId="335590E8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b/>
          <w:szCs w:val="22"/>
          <w:lang w:val="pl-PL"/>
        </w:rPr>
      </w:pPr>
    </w:p>
    <w:p w14:paraId="75C39586" w14:textId="77777777" w:rsidR="00DC069F" w:rsidRPr="00836A3D" w:rsidRDefault="00DC069F" w:rsidP="00DC069F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  <w:r w:rsidRPr="00836A3D">
        <w:rPr>
          <w:szCs w:val="22"/>
          <w:lang w:val="pl-PL"/>
        </w:rPr>
        <w:t xml:space="preserve">Elanco </w:t>
      </w:r>
      <w:proofErr w:type="spellStart"/>
      <w:r w:rsidRPr="00836A3D">
        <w:rPr>
          <w:szCs w:val="22"/>
          <w:lang w:val="pl-PL"/>
        </w:rPr>
        <w:t>Animal</w:t>
      </w:r>
      <w:proofErr w:type="spellEnd"/>
      <w:r w:rsidRPr="00836A3D">
        <w:rPr>
          <w:szCs w:val="22"/>
          <w:lang w:val="pl-PL"/>
        </w:rPr>
        <w:t xml:space="preserve"> </w:t>
      </w:r>
      <w:proofErr w:type="spellStart"/>
      <w:r w:rsidRPr="00836A3D">
        <w:rPr>
          <w:szCs w:val="22"/>
          <w:lang w:val="pl-PL"/>
        </w:rPr>
        <w:t>Health</w:t>
      </w:r>
      <w:proofErr w:type="spellEnd"/>
      <w:r w:rsidRPr="00836A3D">
        <w:rPr>
          <w:szCs w:val="22"/>
          <w:lang w:val="pl-PL"/>
        </w:rPr>
        <w:t xml:space="preserve"> GmbH</w:t>
      </w:r>
    </w:p>
    <w:p w14:paraId="6B4C2120" w14:textId="77777777" w:rsidR="00DC069F" w:rsidRPr="00DC069F" w:rsidRDefault="00DC069F" w:rsidP="00DC069F">
      <w:pPr>
        <w:keepNext/>
        <w:keepLines/>
        <w:tabs>
          <w:tab w:val="clear" w:pos="567"/>
        </w:tabs>
        <w:spacing w:line="240" w:lineRule="auto"/>
        <w:rPr>
          <w:szCs w:val="22"/>
          <w:lang w:val="en-US"/>
        </w:rPr>
      </w:pPr>
      <w:r w:rsidRPr="00DC069F">
        <w:rPr>
          <w:szCs w:val="22"/>
          <w:lang w:val="en-US"/>
        </w:rPr>
        <w:t>Alfred-Nobel-Str. 50</w:t>
      </w:r>
    </w:p>
    <w:p w14:paraId="1A1A05F3" w14:textId="77777777" w:rsidR="00DC069F" w:rsidRPr="00836A3D" w:rsidRDefault="00DC069F" w:rsidP="00DC069F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  <w:r w:rsidRPr="00836A3D">
        <w:rPr>
          <w:szCs w:val="22"/>
          <w:lang w:val="pl-PL"/>
        </w:rPr>
        <w:t xml:space="preserve">40789 </w:t>
      </w:r>
      <w:proofErr w:type="spellStart"/>
      <w:r w:rsidRPr="00836A3D">
        <w:rPr>
          <w:szCs w:val="22"/>
          <w:lang w:val="pl-PL"/>
        </w:rPr>
        <w:t>Monheim</w:t>
      </w:r>
      <w:proofErr w:type="spellEnd"/>
    </w:p>
    <w:p w14:paraId="335590E9" w14:textId="570173FF" w:rsidR="007F2B14" w:rsidRPr="00836A3D" w:rsidRDefault="007F2B14" w:rsidP="00DC069F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  <w:r w:rsidRPr="00836A3D">
        <w:rPr>
          <w:szCs w:val="22"/>
          <w:lang w:val="pl-PL"/>
        </w:rPr>
        <w:t>Niemcy</w:t>
      </w:r>
    </w:p>
    <w:p w14:paraId="335590EA" w14:textId="77777777" w:rsidR="007F2B14" w:rsidRPr="00836A3D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EB" w14:textId="77777777" w:rsidR="007F2B14" w:rsidRPr="00836A3D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EC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8.</w:t>
      </w:r>
      <w:r w:rsidRPr="00ED7F4F">
        <w:rPr>
          <w:b/>
          <w:bCs/>
          <w:szCs w:val="22"/>
          <w:lang w:val="pl-PL"/>
        </w:rPr>
        <w:tab/>
        <w:t>NUMER (-Y) POZWOLENIA NA DOPUSZCZENIE DO OBROTU</w:t>
      </w:r>
      <w:r w:rsidRPr="00ED7F4F">
        <w:rPr>
          <w:szCs w:val="22"/>
          <w:lang w:val="pl-PL"/>
        </w:rPr>
        <w:t xml:space="preserve"> </w:t>
      </w:r>
    </w:p>
    <w:p w14:paraId="335590ED" w14:textId="23110549" w:rsidR="007F2B14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F0474D8" w14:textId="45C91D7A" w:rsidR="00A34956" w:rsidRPr="00ED7F4F" w:rsidRDefault="00A34956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2695/17</w:t>
      </w:r>
    </w:p>
    <w:p w14:paraId="335590EE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EF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F0" w14:textId="77777777" w:rsidR="007F2B14" w:rsidRPr="00ED7F4F" w:rsidRDefault="007F2B14" w:rsidP="00D77502">
      <w:pPr>
        <w:keepNext/>
        <w:keepLines/>
        <w:tabs>
          <w:tab w:val="clear" w:pos="567"/>
        </w:tabs>
        <w:spacing w:line="240" w:lineRule="auto"/>
        <w:ind w:left="567" w:hanging="567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9.</w:t>
      </w:r>
      <w:r w:rsidRPr="00ED7F4F">
        <w:rPr>
          <w:b/>
          <w:bCs/>
          <w:szCs w:val="22"/>
          <w:lang w:val="pl-PL"/>
        </w:rPr>
        <w:tab/>
        <w:t>DATA WYDANIA PIERWSZEGO POZWOLENIA NA DOPUSZCZENIE DO OBROTU/DATA PRZEDŁUŻENIA POZWOLENIA</w:t>
      </w:r>
      <w:r w:rsidRPr="00ED7F4F">
        <w:rPr>
          <w:szCs w:val="22"/>
          <w:lang w:val="pl-PL"/>
        </w:rPr>
        <w:t xml:space="preserve"> </w:t>
      </w:r>
    </w:p>
    <w:p w14:paraId="335590F1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F2" w14:textId="05AE18E9" w:rsidR="007F2B14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szCs w:val="22"/>
          <w:lang w:val="pl-PL"/>
        </w:rPr>
        <w:t>Data wydania pierwszego pozwolenia na dopuszczenie do obrotu:</w:t>
      </w:r>
      <w:r w:rsidR="0006351B">
        <w:rPr>
          <w:szCs w:val="22"/>
          <w:lang w:val="pl-PL"/>
        </w:rPr>
        <w:t xml:space="preserve"> </w:t>
      </w:r>
      <w:r w:rsidR="002336A1">
        <w:rPr>
          <w:szCs w:val="22"/>
          <w:lang w:val="pl-PL"/>
        </w:rPr>
        <w:t>12.09.2017</w:t>
      </w:r>
    </w:p>
    <w:p w14:paraId="1EAB42AB" w14:textId="1288304D" w:rsidR="0042410D" w:rsidRPr="00ED7F4F" w:rsidRDefault="0042410D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Data przedłużenia pozwolenia</w:t>
      </w:r>
      <w:r w:rsidR="00F03C24">
        <w:rPr>
          <w:szCs w:val="22"/>
          <w:lang w:val="pl-PL"/>
        </w:rPr>
        <w:t>:</w:t>
      </w:r>
      <w:r w:rsidR="000E04F8">
        <w:rPr>
          <w:szCs w:val="22"/>
          <w:lang w:val="pl-PL"/>
        </w:rPr>
        <w:t xml:space="preserve"> 12.05.2022</w:t>
      </w:r>
    </w:p>
    <w:p w14:paraId="335590F3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F4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F5" w14:textId="77777777" w:rsidR="007F2B14" w:rsidRPr="00ED7F4F" w:rsidRDefault="007F2B14" w:rsidP="00D77502">
      <w:pPr>
        <w:keepNext/>
        <w:keepLines/>
        <w:tabs>
          <w:tab w:val="clear" w:pos="567"/>
        </w:tabs>
        <w:spacing w:line="240" w:lineRule="auto"/>
        <w:ind w:left="567" w:hanging="567"/>
        <w:rPr>
          <w:b/>
          <w:szCs w:val="22"/>
          <w:lang w:val="pl-PL"/>
        </w:rPr>
      </w:pPr>
      <w:r w:rsidRPr="00ED7F4F">
        <w:rPr>
          <w:b/>
          <w:bCs/>
          <w:szCs w:val="22"/>
          <w:lang w:val="pl-PL"/>
        </w:rPr>
        <w:t>10.</w:t>
      </w:r>
      <w:r w:rsidRPr="00ED7F4F">
        <w:rPr>
          <w:b/>
          <w:bCs/>
          <w:szCs w:val="22"/>
          <w:lang w:val="pl-PL"/>
        </w:rPr>
        <w:tab/>
        <w:t>DATA OSTATNIEJ AKTUALIZACJI TEKSTU CHARAKTERYSTYKI PRODUKTU LECZNICZEGO WETERYNARYJNEGO</w:t>
      </w:r>
    </w:p>
    <w:p w14:paraId="335590F6" w14:textId="77777777" w:rsidR="007F2B14" w:rsidRPr="00ED7F4F" w:rsidRDefault="007F2B14" w:rsidP="00ED7F4F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F7" w14:textId="6DCBD7B3" w:rsidR="007F2B14" w:rsidRPr="00ED7F4F" w:rsidRDefault="00DC069F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01/2024</w:t>
      </w:r>
    </w:p>
    <w:p w14:paraId="335590F8" w14:textId="001ECC49" w:rsidR="007F2B14" w:rsidRDefault="00F03C24" w:rsidP="00F03C24">
      <w:pPr>
        <w:tabs>
          <w:tab w:val="clear" w:pos="567"/>
          <w:tab w:val="left" w:pos="1480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ab/>
      </w:r>
    </w:p>
    <w:p w14:paraId="388FC491" w14:textId="77777777" w:rsidR="00F03C24" w:rsidRPr="00ED7F4F" w:rsidRDefault="00F03C24" w:rsidP="00D77502">
      <w:pPr>
        <w:tabs>
          <w:tab w:val="clear" w:pos="567"/>
          <w:tab w:val="left" w:pos="1480"/>
        </w:tabs>
        <w:spacing w:line="240" w:lineRule="auto"/>
        <w:rPr>
          <w:szCs w:val="22"/>
          <w:lang w:val="pl-PL"/>
        </w:rPr>
      </w:pPr>
    </w:p>
    <w:p w14:paraId="335590F9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ED7F4F">
        <w:rPr>
          <w:b/>
          <w:bCs/>
          <w:szCs w:val="22"/>
          <w:lang w:val="pl-PL"/>
        </w:rPr>
        <w:t>ZAKAZ WYTWARZANIA, IMPORTU, POSIADANIA, SPRZEDAŻY, DOSTAWY I/LUB STOSOWANIA</w:t>
      </w:r>
    </w:p>
    <w:p w14:paraId="335590FA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FB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FC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FD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0FE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559291" w14:textId="77777777" w:rsidR="007F2B14" w:rsidRPr="00ED7F4F" w:rsidRDefault="007F2B14" w:rsidP="00ED7F4F">
      <w:pPr>
        <w:tabs>
          <w:tab w:val="clear" w:pos="567"/>
        </w:tabs>
        <w:spacing w:line="240" w:lineRule="auto"/>
        <w:rPr>
          <w:bCs/>
          <w:iCs/>
          <w:color w:val="000000"/>
          <w:szCs w:val="22"/>
          <w:lang w:val="pl-PL"/>
        </w:rPr>
      </w:pPr>
    </w:p>
    <w:sectPr w:rsidR="007F2B14" w:rsidRPr="00ED7F4F" w:rsidSect="00BE34AC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747" w:bottom="1134" w:left="1418" w:header="737" w:footer="73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F41B7" w14:textId="77777777" w:rsidR="00724915" w:rsidRDefault="00724915">
      <w:r>
        <w:separator/>
      </w:r>
    </w:p>
  </w:endnote>
  <w:endnote w:type="continuationSeparator" w:id="0">
    <w:p w14:paraId="689FDF05" w14:textId="77777777" w:rsidR="00724915" w:rsidRDefault="0072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59298" w14:textId="28C6C790" w:rsidR="00484970" w:rsidRPr="00B94A1B" w:rsidRDefault="00484970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C615E5">
      <w:rPr>
        <w:rFonts w:ascii="Times New Roman" w:hAnsi="Times New Roman"/>
        <w:noProof/>
      </w:rPr>
      <w:t>7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59299" w14:textId="77777777" w:rsidR="00484970" w:rsidRDefault="00484970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3221" w14:textId="77777777" w:rsidR="00724915" w:rsidRDefault="00724915">
      <w:r>
        <w:separator/>
      </w:r>
    </w:p>
  </w:footnote>
  <w:footnote w:type="continuationSeparator" w:id="0">
    <w:p w14:paraId="6027A553" w14:textId="77777777" w:rsidR="00724915" w:rsidRDefault="00724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06F37"/>
    <w:multiLevelType w:val="hybridMultilevel"/>
    <w:tmpl w:val="AE14AB84"/>
    <w:lvl w:ilvl="0" w:tplc="F2D09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7C4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DEB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2B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E462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1A74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1EA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6A1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149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773A82"/>
    <w:multiLevelType w:val="hybridMultilevel"/>
    <w:tmpl w:val="DD3CF770"/>
    <w:lvl w:ilvl="0" w:tplc="09DEC88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163AF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B4B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346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9EA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38F7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743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B08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C41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AB0E9F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26088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2928E1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588C8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0146C4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28AFAE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1BE4C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55413C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AA0945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C77ED2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1A20E1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A709A3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9D84AD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BCAC6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1D60E0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FBAA7C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27C864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5EC93D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B0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B428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FEB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A2B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047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D09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488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48B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62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0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468F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64E7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D46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2A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02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886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06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08E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22B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  <w:rPr>
        <w:rFonts w:cs="Times New Roman"/>
      </w:r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1087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A989F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9EA04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2E2A1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4E278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68689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D2AE6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B0A6E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B64B3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67373A9"/>
    <w:multiLevelType w:val="hybridMultilevel"/>
    <w:tmpl w:val="E3BA04EE"/>
    <w:lvl w:ilvl="0" w:tplc="697C28F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3D0A1B5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0D0A9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4FCF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A48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4E0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283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38F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403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0A943C6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444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905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A0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4C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7AF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2D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A7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048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8D544B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E65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1C7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545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607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BA6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86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D8B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9C7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1F1D26"/>
    <w:multiLevelType w:val="hybridMultilevel"/>
    <w:tmpl w:val="2E749F0C"/>
    <w:lvl w:ilvl="0" w:tplc="14D4474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068F6C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25C620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EE066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720B90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BDA5E5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1821EE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9AEA77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10429D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F37EB6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2016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BE29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C8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8F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AC8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AC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67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2EC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C3A2AE2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AFED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A0E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25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5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C67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4A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0B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B27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2" w15:restartNumberingAfterBreak="0">
    <w:nsid w:val="71FB76EB"/>
    <w:multiLevelType w:val="hybridMultilevel"/>
    <w:tmpl w:val="CC66055E"/>
    <w:lvl w:ilvl="0" w:tplc="A4A2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D689C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20EC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200A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CA0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D7A6B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549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501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4E2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087B01"/>
    <w:multiLevelType w:val="hybridMultilevel"/>
    <w:tmpl w:val="D4C290BC"/>
    <w:lvl w:ilvl="0" w:tplc="C6CE75F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81B0E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CA7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32D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6C5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EAC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74E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0091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745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8A5987"/>
    <w:multiLevelType w:val="hybridMultilevel"/>
    <w:tmpl w:val="D73EEE10"/>
    <w:lvl w:ilvl="0" w:tplc="574669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1CC0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7EF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8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6C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4E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62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46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FA8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 w16cid:durableId="51053168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952485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478457076">
    <w:abstractNumId w:val="31"/>
  </w:num>
  <w:num w:numId="4" w16cid:durableId="1526792477">
    <w:abstractNumId w:val="30"/>
  </w:num>
  <w:num w:numId="5" w16cid:durableId="941373650">
    <w:abstractNumId w:val="13"/>
  </w:num>
  <w:num w:numId="6" w16cid:durableId="1690839965">
    <w:abstractNumId w:val="23"/>
  </w:num>
  <w:num w:numId="7" w16cid:durableId="468598134">
    <w:abstractNumId w:val="18"/>
  </w:num>
  <w:num w:numId="8" w16cid:durableId="2052219420">
    <w:abstractNumId w:val="9"/>
  </w:num>
  <w:num w:numId="9" w16cid:durableId="882518338">
    <w:abstractNumId w:val="28"/>
  </w:num>
  <w:num w:numId="10" w16cid:durableId="1901668858">
    <w:abstractNumId w:val="29"/>
  </w:num>
  <w:num w:numId="11" w16cid:durableId="1146315727">
    <w:abstractNumId w:val="15"/>
  </w:num>
  <w:num w:numId="12" w16cid:durableId="141312303">
    <w:abstractNumId w:val="14"/>
  </w:num>
  <w:num w:numId="13" w16cid:durableId="1993440916">
    <w:abstractNumId w:val="3"/>
  </w:num>
  <w:num w:numId="14" w16cid:durableId="1613395062">
    <w:abstractNumId w:val="27"/>
  </w:num>
  <w:num w:numId="15" w16cid:durableId="20321341">
    <w:abstractNumId w:val="17"/>
  </w:num>
  <w:num w:numId="16" w16cid:durableId="1929728854">
    <w:abstractNumId w:val="32"/>
  </w:num>
  <w:num w:numId="17" w16cid:durableId="1053771676">
    <w:abstractNumId w:val="10"/>
  </w:num>
  <w:num w:numId="18" w16cid:durableId="1163861634">
    <w:abstractNumId w:val="1"/>
  </w:num>
  <w:num w:numId="19" w16cid:durableId="2038583208">
    <w:abstractNumId w:val="16"/>
  </w:num>
  <w:num w:numId="20" w16cid:durableId="1129280116">
    <w:abstractNumId w:val="4"/>
  </w:num>
  <w:num w:numId="21" w16cid:durableId="356547605">
    <w:abstractNumId w:val="8"/>
  </w:num>
  <w:num w:numId="22" w16cid:durableId="195579501">
    <w:abstractNumId w:val="25"/>
  </w:num>
  <w:num w:numId="23" w16cid:durableId="586381548">
    <w:abstractNumId w:val="33"/>
  </w:num>
  <w:num w:numId="24" w16cid:durableId="1745489881">
    <w:abstractNumId w:val="20"/>
  </w:num>
  <w:num w:numId="25" w16cid:durableId="1508670407">
    <w:abstractNumId w:val="11"/>
  </w:num>
  <w:num w:numId="26" w16cid:durableId="547955330">
    <w:abstractNumId w:val="12"/>
  </w:num>
  <w:num w:numId="27" w16cid:durableId="631864487">
    <w:abstractNumId w:val="6"/>
  </w:num>
  <w:num w:numId="28" w16cid:durableId="302658030">
    <w:abstractNumId w:val="7"/>
  </w:num>
  <w:num w:numId="29" w16cid:durableId="1925259222">
    <w:abstractNumId w:val="21"/>
  </w:num>
  <w:num w:numId="30" w16cid:durableId="1457672525">
    <w:abstractNumId w:val="34"/>
  </w:num>
  <w:num w:numId="31" w16cid:durableId="488911151">
    <w:abstractNumId w:val="35"/>
  </w:num>
  <w:num w:numId="32" w16cid:durableId="572861464">
    <w:abstractNumId w:val="19"/>
  </w:num>
  <w:num w:numId="33" w16cid:durableId="280956799">
    <w:abstractNumId w:val="26"/>
  </w:num>
  <w:num w:numId="34" w16cid:durableId="1666082627">
    <w:abstractNumId w:val="22"/>
  </w:num>
  <w:num w:numId="35" w16cid:durableId="629287532">
    <w:abstractNumId w:val="2"/>
  </w:num>
  <w:num w:numId="36" w16cid:durableId="576595343">
    <w:abstractNumId w:val="5"/>
  </w:num>
  <w:num w:numId="37" w16cid:durableId="12398291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235C"/>
    <w:rsid w:val="00003B3C"/>
    <w:rsid w:val="00005049"/>
    <w:rsid w:val="000074B7"/>
    <w:rsid w:val="000078EC"/>
    <w:rsid w:val="00015520"/>
    <w:rsid w:val="00020A03"/>
    <w:rsid w:val="0002510B"/>
    <w:rsid w:val="00037894"/>
    <w:rsid w:val="00037971"/>
    <w:rsid w:val="00050CF4"/>
    <w:rsid w:val="00060606"/>
    <w:rsid w:val="0006351B"/>
    <w:rsid w:val="000643B3"/>
    <w:rsid w:val="00067C77"/>
    <w:rsid w:val="000866A3"/>
    <w:rsid w:val="000A0A11"/>
    <w:rsid w:val="000A6325"/>
    <w:rsid w:val="000B4AFA"/>
    <w:rsid w:val="000C5AB2"/>
    <w:rsid w:val="000D316A"/>
    <w:rsid w:val="000E04F8"/>
    <w:rsid w:val="000F39AE"/>
    <w:rsid w:val="0010572E"/>
    <w:rsid w:val="001232DE"/>
    <w:rsid w:val="00123D29"/>
    <w:rsid w:val="0013001D"/>
    <w:rsid w:val="00131213"/>
    <w:rsid w:val="001330EF"/>
    <w:rsid w:val="001348E6"/>
    <w:rsid w:val="00135D57"/>
    <w:rsid w:val="00137476"/>
    <w:rsid w:val="00141F0C"/>
    <w:rsid w:val="0014419D"/>
    <w:rsid w:val="001648BB"/>
    <w:rsid w:val="0016610F"/>
    <w:rsid w:val="0016761B"/>
    <w:rsid w:val="00181271"/>
    <w:rsid w:val="00191ABC"/>
    <w:rsid w:val="0019491A"/>
    <w:rsid w:val="001A1BAE"/>
    <w:rsid w:val="001A37CA"/>
    <w:rsid w:val="001B03B2"/>
    <w:rsid w:val="001C31EB"/>
    <w:rsid w:val="001E79BC"/>
    <w:rsid w:val="00215C86"/>
    <w:rsid w:val="0022547D"/>
    <w:rsid w:val="002336A1"/>
    <w:rsid w:val="00235F02"/>
    <w:rsid w:val="00240F0F"/>
    <w:rsid w:val="00241011"/>
    <w:rsid w:val="00244D43"/>
    <w:rsid w:val="00271A0E"/>
    <w:rsid w:val="00272B93"/>
    <w:rsid w:val="00286048"/>
    <w:rsid w:val="002924BB"/>
    <w:rsid w:val="002A6268"/>
    <w:rsid w:val="002A77E5"/>
    <w:rsid w:val="002C01DB"/>
    <w:rsid w:val="002D56CF"/>
    <w:rsid w:val="002F2BBB"/>
    <w:rsid w:val="00301578"/>
    <w:rsid w:val="003024AB"/>
    <w:rsid w:val="00310C29"/>
    <w:rsid w:val="00310CC7"/>
    <w:rsid w:val="0032162E"/>
    <w:rsid w:val="003252BE"/>
    <w:rsid w:val="00331252"/>
    <w:rsid w:val="00333052"/>
    <w:rsid w:val="0034431B"/>
    <w:rsid w:val="00357BDC"/>
    <w:rsid w:val="003624D6"/>
    <w:rsid w:val="003663DB"/>
    <w:rsid w:val="003669A5"/>
    <w:rsid w:val="003750C9"/>
    <w:rsid w:val="00377B48"/>
    <w:rsid w:val="00382A20"/>
    <w:rsid w:val="00390B04"/>
    <w:rsid w:val="003A0FA9"/>
    <w:rsid w:val="003A3931"/>
    <w:rsid w:val="003C0ECD"/>
    <w:rsid w:val="003D0F41"/>
    <w:rsid w:val="003D62F1"/>
    <w:rsid w:val="003D6D81"/>
    <w:rsid w:val="003E15DC"/>
    <w:rsid w:val="003F39EC"/>
    <w:rsid w:val="00400C39"/>
    <w:rsid w:val="00416B63"/>
    <w:rsid w:val="0042410D"/>
    <w:rsid w:val="00426D68"/>
    <w:rsid w:val="00434C9C"/>
    <w:rsid w:val="004375EF"/>
    <w:rsid w:val="00443C7D"/>
    <w:rsid w:val="00464739"/>
    <w:rsid w:val="00484970"/>
    <w:rsid w:val="00493F85"/>
    <w:rsid w:val="004A0BB2"/>
    <w:rsid w:val="004A17A5"/>
    <w:rsid w:val="004C29F8"/>
    <w:rsid w:val="004D125F"/>
    <w:rsid w:val="00510421"/>
    <w:rsid w:val="00535454"/>
    <w:rsid w:val="00540375"/>
    <w:rsid w:val="00546C21"/>
    <w:rsid w:val="00582436"/>
    <w:rsid w:val="00591A65"/>
    <w:rsid w:val="00591E18"/>
    <w:rsid w:val="00595085"/>
    <w:rsid w:val="005B5676"/>
    <w:rsid w:val="005B6526"/>
    <w:rsid w:val="005C37C4"/>
    <w:rsid w:val="005C382A"/>
    <w:rsid w:val="005F058B"/>
    <w:rsid w:val="006004BC"/>
    <w:rsid w:val="00614137"/>
    <w:rsid w:val="00615F2B"/>
    <w:rsid w:val="00617424"/>
    <w:rsid w:val="0062542A"/>
    <w:rsid w:val="00650AD8"/>
    <w:rsid w:val="006527DF"/>
    <w:rsid w:val="006618E4"/>
    <w:rsid w:val="0066609A"/>
    <w:rsid w:val="00667A7F"/>
    <w:rsid w:val="0068072E"/>
    <w:rsid w:val="00695753"/>
    <w:rsid w:val="006A6A55"/>
    <w:rsid w:val="006C0339"/>
    <w:rsid w:val="006D6589"/>
    <w:rsid w:val="006E003D"/>
    <w:rsid w:val="006E45EE"/>
    <w:rsid w:val="006F1417"/>
    <w:rsid w:val="00711482"/>
    <w:rsid w:val="00724915"/>
    <w:rsid w:val="00725E10"/>
    <w:rsid w:val="0074139D"/>
    <w:rsid w:val="00763349"/>
    <w:rsid w:val="00763EF4"/>
    <w:rsid w:val="00781457"/>
    <w:rsid w:val="00786115"/>
    <w:rsid w:val="00790092"/>
    <w:rsid w:val="00791CF6"/>
    <w:rsid w:val="00792E36"/>
    <w:rsid w:val="00794407"/>
    <w:rsid w:val="007B3F95"/>
    <w:rsid w:val="007C1C1D"/>
    <w:rsid w:val="007C3928"/>
    <w:rsid w:val="007D6E9A"/>
    <w:rsid w:val="007E0F79"/>
    <w:rsid w:val="007F1F7F"/>
    <w:rsid w:val="007F2B14"/>
    <w:rsid w:val="00800462"/>
    <w:rsid w:val="00810A98"/>
    <w:rsid w:val="00815244"/>
    <w:rsid w:val="00836A3D"/>
    <w:rsid w:val="00862182"/>
    <w:rsid w:val="00866A39"/>
    <w:rsid w:val="008739BC"/>
    <w:rsid w:val="00877BB1"/>
    <w:rsid w:val="008941B0"/>
    <w:rsid w:val="008A3D88"/>
    <w:rsid w:val="008E6B1A"/>
    <w:rsid w:val="0090531A"/>
    <w:rsid w:val="00916214"/>
    <w:rsid w:val="00925845"/>
    <w:rsid w:val="00937BE7"/>
    <w:rsid w:val="00954DEA"/>
    <w:rsid w:val="009605B5"/>
    <w:rsid w:val="0097108C"/>
    <w:rsid w:val="0097577C"/>
    <w:rsid w:val="00976A74"/>
    <w:rsid w:val="009846D4"/>
    <w:rsid w:val="00986E38"/>
    <w:rsid w:val="009A3600"/>
    <w:rsid w:val="009A4568"/>
    <w:rsid w:val="009B5823"/>
    <w:rsid w:val="009B7013"/>
    <w:rsid w:val="009D2F8E"/>
    <w:rsid w:val="009E252F"/>
    <w:rsid w:val="009F23E2"/>
    <w:rsid w:val="009F7F7E"/>
    <w:rsid w:val="00A07670"/>
    <w:rsid w:val="00A07E1B"/>
    <w:rsid w:val="00A10014"/>
    <w:rsid w:val="00A13389"/>
    <w:rsid w:val="00A17C06"/>
    <w:rsid w:val="00A20C29"/>
    <w:rsid w:val="00A34956"/>
    <w:rsid w:val="00A35134"/>
    <w:rsid w:val="00A4796A"/>
    <w:rsid w:val="00A74689"/>
    <w:rsid w:val="00A90838"/>
    <w:rsid w:val="00A92015"/>
    <w:rsid w:val="00A9600D"/>
    <w:rsid w:val="00AA0AC9"/>
    <w:rsid w:val="00AA0B90"/>
    <w:rsid w:val="00AA1A2E"/>
    <w:rsid w:val="00AB7745"/>
    <w:rsid w:val="00AD1F72"/>
    <w:rsid w:val="00AE0F96"/>
    <w:rsid w:val="00B07947"/>
    <w:rsid w:val="00B22DD6"/>
    <w:rsid w:val="00B25DAE"/>
    <w:rsid w:val="00B268DA"/>
    <w:rsid w:val="00B4614F"/>
    <w:rsid w:val="00B51AB4"/>
    <w:rsid w:val="00B66D08"/>
    <w:rsid w:val="00B71A58"/>
    <w:rsid w:val="00B749BC"/>
    <w:rsid w:val="00B85C18"/>
    <w:rsid w:val="00B94A1B"/>
    <w:rsid w:val="00BA7B9E"/>
    <w:rsid w:val="00BA7EE2"/>
    <w:rsid w:val="00BB353A"/>
    <w:rsid w:val="00BD1650"/>
    <w:rsid w:val="00BD2368"/>
    <w:rsid w:val="00BE34AC"/>
    <w:rsid w:val="00BE619C"/>
    <w:rsid w:val="00C0603A"/>
    <w:rsid w:val="00C114FF"/>
    <w:rsid w:val="00C2647D"/>
    <w:rsid w:val="00C342F7"/>
    <w:rsid w:val="00C3696F"/>
    <w:rsid w:val="00C3764F"/>
    <w:rsid w:val="00C615E5"/>
    <w:rsid w:val="00C7469B"/>
    <w:rsid w:val="00C87CAF"/>
    <w:rsid w:val="00CA09D5"/>
    <w:rsid w:val="00CA1070"/>
    <w:rsid w:val="00CA28E9"/>
    <w:rsid w:val="00CB13E7"/>
    <w:rsid w:val="00CB16B7"/>
    <w:rsid w:val="00CC6FB5"/>
    <w:rsid w:val="00CE2C8D"/>
    <w:rsid w:val="00CF15A1"/>
    <w:rsid w:val="00CF561E"/>
    <w:rsid w:val="00CF64D7"/>
    <w:rsid w:val="00D06062"/>
    <w:rsid w:val="00D22137"/>
    <w:rsid w:val="00D26834"/>
    <w:rsid w:val="00D306A1"/>
    <w:rsid w:val="00D31551"/>
    <w:rsid w:val="00D472B0"/>
    <w:rsid w:val="00D52656"/>
    <w:rsid w:val="00D57433"/>
    <w:rsid w:val="00D644A1"/>
    <w:rsid w:val="00D77502"/>
    <w:rsid w:val="00D77CF3"/>
    <w:rsid w:val="00D823DD"/>
    <w:rsid w:val="00D82727"/>
    <w:rsid w:val="00D82FB6"/>
    <w:rsid w:val="00DA6263"/>
    <w:rsid w:val="00DB2065"/>
    <w:rsid w:val="00DB7B4E"/>
    <w:rsid w:val="00DC069F"/>
    <w:rsid w:val="00DC30EC"/>
    <w:rsid w:val="00DD1F1D"/>
    <w:rsid w:val="00DD3B90"/>
    <w:rsid w:val="00E31E53"/>
    <w:rsid w:val="00E40FA2"/>
    <w:rsid w:val="00E41610"/>
    <w:rsid w:val="00E53E4E"/>
    <w:rsid w:val="00E7052C"/>
    <w:rsid w:val="00E84FD7"/>
    <w:rsid w:val="00E92DE4"/>
    <w:rsid w:val="00EC3A15"/>
    <w:rsid w:val="00EC7951"/>
    <w:rsid w:val="00ED7F4F"/>
    <w:rsid w:val="00F00DC8"/>
    <w:rsid w:val="00F03C24"/>
    <w:rsid w:val="00F042E3"/>
    <w:rsid w:val="00F06902"/>
    <w:rsid w:val="00F37CB3"/>
    <w:rsid w:val="00F50C38"/>
    <w:rsid w:val="00F64A96"/>
    <w:rsid w:val="00F6683D"/>
    <w:rsid w:val="00F91231"/>
    <w:rsid w:val="00FB3C50"/>
    <w:rsid w:val="00FB6DD5"/>
    <w:rsid w:val="00FC78AF"/>
    <w:rsid w:val="00FD5890"/>
    <w:rsid w:val="00FE028A"/>
    <w:rsid w:val="00FE471C"/>
    <w:rsid w:val="00FE5AC8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59029"/>
  <w15:docId w15:val="{77C5099F-EB27-4787-AB65-2A7D0479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35C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78EC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78EC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78EC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78EC"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78EC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78EC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78EC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78EC"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78EC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22DD6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B22DD6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B22DD6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B22DD6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B22DD6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B22DD6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B22DD6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B22DD6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B22DD6"/>
    <w:rPr>
      <w:rFonts w:ascii="Cambria" w:hAnsi="Cambria" w:cs="Times New Roman"/>
      <w:lang w:val="en-GB" w:eastAsia="en-US"/>
    </w:rPr>
  </w:style>
  <w:style w:type="paragraph" w:styleId="Header">
    <w:name w:val="header"/>
    <w:basedOn w:val="Normal"/>
    <w:link w:val="HeaderChar"/>
    <w:uiPriority w:val="99"/>
    <w:rsid w:val="000078E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HeaderChar">
    <w:name w:val="Header Char"/>
    <w:link w:val="Header"/>
    <w:uiPriority w:val="99"/>
    <w:semiHidden/>
    <w:locked/>
    <w:rsid w:val="00B22DD6"/>
    <w:rPr>
      <w:rFonts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0078E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FooterChar">
    <w:name w:val="Footer Char"/>
    <w:link w:val="Footer"/>
    <w:uiPriority w:val="99"/>
    <w:locked/>
    <w:rsid w:val="00020A03"/>
    <w:rPr>
      <w:rFonts w:ascii="Helvetica" w:hAnsi="Helvetica" w:cs="Times New Roman"/>
      <w:sz w:val="16"/>
      <w:lang w:val="en-GB" w:eastAsia="en-US"/>
    </w:rPr>
  </w:style>
  <w:style w:type="paragraph" w:styleId="TOC9">
    <w:name w:val="toc 9"/>
    <w:basedOn w:val="Normal"/>
    <w:next w:val="Normal"/>
    <w:uiPriority w:val="99"/>
    <w:semiHidden/>
    <w:rsid w:val="000078EC"/>
    <w:pPr>
      <w:tabs>
        <w:tab w:val="clear" w:pos="567"/>
      </w:tabs>
      <w:ind w:left="1760"/>
    </w:pPr>
  </w:style>
  <w:style w:type="character" w:styleId="EndnoteReference">
    <w:name w:val="endnote reference"/>
    <w:uiPriority w:val="99"/>
    <w:semiHidden/>
    <w:rsid w:val="000078EC"/>
    <w:rPr>
      <w:rFonts w:cs="Times New Roman"/>
      <w:vertAlign w:val="superscript"/>
    </w:rPr>
  </w:style>
  <w:style w:type="character" w:styleId="FootnoteReference">
    <w:name w:val="footnote reference"/>
    <w:uiPriority w:val="99"/>
    <w:semiHidden/>
    <w:rsid w:val="000078E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078EC"/>
    <w:pPr>
      <w:tabs>
        <w:tab w:val="clear" w:pos="567"/>
      </w:tabs>
      <w:spacing w:line="240" w:lineRule="auto"/>
      <w:jc w:val="both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22DD6"/>
    <w:rPr>
      <w:rFonts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078EC"/>
    <w:pPr>
      <w:tabs>
        <w:tab w:val="clear" w:pos="567"/>
      </w:tabs>
      <w:spacing w:line="240" w:lineRule="auto"/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B22DD6"/>
    <w:rPr>
      <w:rFonts w:cs="Times New Roman"/>
      <w:sz w:val="20"/>
      <w:szCs w:val="20"/>
      <w:lang w:val="en-GB" w:eastAsia="en-US"/>
    </w:rPr>
  </w:style>
  <w:style w:type="paragraph" w:styleId="BlockText">
    <w:name w:val="Block Text"/>
    <w:basedOn w:val="Normal"/>
    <w:uiPriority w:val="99"/>
    <w:rsid w:val="000078EC"/>
    <w:pPr>
      <w:tabs>
        <w:tab w:val="clear" w:pos="567"/>
      </w:tabs>
      <w:ind w:left="2268" w:right="1711" w:hanging="567"/>
    </w:pPr>
    <w:rPr>
      <w:b/>
    </w:rPr>
  </w:style>
  <w:style w:type="paragraph" w:customStyle="1" w:styleId="Textkrper23">
    <w:name w:val="Textkörper 23"/>
    <w:basedOn w:val="Normal"/>
    <w:uiPriority w:val="99"/>
    <w:rsid w:val="000078EC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link w:val="BodyText3Char"/>
    <w:uiPriority w:val="99"/>
    <w:rsid w:val="000078EC"/>
    <w:pPr>
      <w:ind w:right="113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locked/>
    <w:rsid w:val="00B22DD6"/>
    <w:rPr>
      <w:rFonts w:cs="Times New Roman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0078EC"/>
    <w:pPr>
      <w:spacing w:line="240" w:lineRule="auto"/>
    </w:pPr>
  </w:style>
  <w:style w:type="character" w:customStyle="1" w:styleId="EndnoteTextChar">
    <w:name w:val="Endnote Text Char"/>
    <w:link w:val="EndnoteText"/>
    <w:uiPriority w:val="99"/>
    <w:semiHidden/>
    <w:locked/>
    <w:rsid w:val="00B22DD6"/>
    <w:rPr>
      <w:rFonts w:cs="Times New Roman"/>
      <w:sz w:val="20"/>
      <w:szCs w:val="20"/>
      <w:lang w:val="en-GB" w:eastAsia="en-US"/>
    </w:rPr>
  </w:style>
  <w:style w:type="character" w:styleId="CommentReference">
    <w:name w:val="annotation reference"/>
    <w:uiPriority w:val="99"/>
    <w:semiHidden/>
    <w:rsid w:val="000078EC"/>
    <w:rPr>
      <w:rFonts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0078EC"/>
    <w:pPr>
      <w:ind w:left="567" w:hanging="567"/>
      <w:jc w:val="both"/>
    </w:pPr>
    <w:rPr>
      <w:b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B22DD6"/>
    <w:rPr>
      <w:rFonts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0078EC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20A03"/>
    <w:rPr>
      <w:rFonts w:cs="Times New Roman"/>
      <w:lang w:val="en-GB" w:eastAsia="en-US"/>
    </w:rPr>
  </w:style>
  <w:style w:type="paragraph" w:customStyle="1" w:styleId="Textkrper22">
    <w:name w:val="Textkörper 22"/>
    <w:basedOn w:val="Normal"/>
    <w:uiPriority w:val="99"/>
    <w:rsid w:val="000078EC"/>
    <w:pPr>
      <w:ind w:left="567" w:hanging="567"/>
    </w:pPr>
    <w:rPr>
      <w:b/>
    </w:rPr>
  </w:style>
  <w:style w:type="paragraph" w:customStyle="1" w:styleId="Textkrper21">
    <w:name w:val="Textkörper 21"/>
    <w:basedOn w:val="Normal"/>
    <w:uiPriority w:val="99"/>
    <w:rsid w:val="000078EC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rsid w:val="000078EC"/>
    <w:pPr>
      <w:spacing w:line="240" w:lineRule="auto"/>
      <w:ind w:left="567" w:hanging="567"/>
    </w:pPr>
  </w:style>
  <w:style w:type="character" w:customStyle="1" w:styleId="BodyTextIndent3Char">
    <w:name w:val="Body Text Indent 3 Char"/>
    <w:link w:val="BodyTextIndent3"/>
    <w:uiPriority w:val="99"/>
    <w:semiHidden/>
    <w:locked/>
    <w:rsid w:val="00B22DD6"/>
    <w:rPr>
      <w:rFonts w:cs="Times New Roman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0078EC"/>
    <w:pPr>
      <w:spacing w:line="240" w:lineRule="auto"/>
      <w:ind w:left="567" w:hanging="567"/>
    </w:pPr>
    <w:rPr>
      <w:b/>
    </w:rPr>
  </w:style>
  <w:style w:type="character" w:customStyle="1" w:styleId="BodyText2Char">
    <w:name w:val="Body Text 2 Char"/>
    <w:link w:val="BodyText2"/>
    <w:uiPriority w:val="99"/>
    <w:semiHidden/>
    <w:locked/>
    <w:rsid w:val="00B22DD6"/>
    <w:rPr>
      <w:rFonts w:cs="Times New Roman"/>
      <w:sz w:val="20"/>
      <w:szCs w:val="20"/>
      <w:lang w:val="en-GB" w:eastAsia="en-US"/>
    </w:rPr>
  </w:style>
  <w:style w:type="character" w:styleId="Hyperlink">
    <w:name w:val="Hyperlink"/>
    <w:uiPriority w:val="99"/>
    <w:rsid w:val="000078EC"/>
    <w:rPr>
      <w:rFonts w:cs="Times New Roman"/>
      <w:color w:val="0000FF"/>
      <w:u w:val="single"/>
    </w:rPr>
  </w:style>
  <w:style w:type="paragraph" w:customStyle="1" w:styleId="AHeader1">
    <w:name w:val="AHeader 1"/>
    <w:basedOn w:val="Normal"/>
    <w:uiPriority w:val="99"/>
    <w:rsid w:val="000078EC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uiPriority w:val="99"/>
    <w:rsid w:val="000078E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uiPriority w:val="99"/>
    <w:rsid w:val="000078EC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uiPriority w:val="99"/>
    <w:rsid w:val="000078E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uiPriority w:val="99"/>
    <w:rsid w:val="000078E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uiPriority w:val="99"/>
    <w:rsid w:val="000078EC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078EC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BodyTextIndentChar">
    <w:name w:val="Body Text Indent Char"/>
    <w:link w:val="BodyTextIndent"/>
    <w:uiPriority w:val="99"/>
    <w:semiHidden/>
    <w:locked/>
    <w:rsid w:val="00B22DD6"/>
    <w:rPr>
      <w:rFonts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07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22DD6"/>
    <w:rPr>
      <w:rFonts w:cs="Times New Roman"/>
      <w:sz w:val="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78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22DD6"/>
    <w:rPr>
      <w:rFonts w:cs="Times New Roman"/>
      <w:b/>
      <w:bCs/>
      <w:sz w:val="20"/>
      <w:szCs w:val="20"/>
      <w:lang w:val="en-GB" w:eastAsia="en-US"/>
    </w:rPr>
  </w:style>
  <w:style w:type="table" w:styleId="TableGrid">
    <w:name w:val="Table Grid"/>
    <w:basedOn w:val="TableNormal"/>
    <w:uiPriority w:val="99"/>
    <w:rsid w:val="00020A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1">
    <w:name w:val="Revision1"/>
    <w:hidden/>
    <w:uiPriority w:val="99"/>
    <w:semiHidden/>
    <w:rsid w:val="00020A03"/>
    <w:rPr>
      <w:sz w:val="22"/>
      <w:lang w:val="en-GB" w:eastAsia="en-US"/>
    </w:rPr>
  </w:style>
  <w:style w:type="paragraph" w:customStyle="1" w:styleId="Default">
    <w:name w:val="Default"/>
    <w:uiPriority w:val="99"/>
    <w:rsid w:val="00020A0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al"/>
    <w:link w:val="BodytextAgencyChar"/>
    <w:uiPriority w:val="99"/>
    <w:rsid w:val="00020A03"/>
    <w:pPr>
      <w:tabs>
        <w:tab w:val="clear" w:pos="567"/>
      </w:tabs>
      <w:spacing w:after="140" w:line="280" w:lineRule="atLeast"/>
    </w:pPr>
    <w:rPr>
      <w:rFonts w:ascii="Verdana" w:hAnsi="Verdana"/>
      <w:sz w:val="18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uiPriority w:val="99"/>
    <w:rsid w:val="00020A03"/>
    <w:pPr>
      <w:tabs>
        <w:tab w:val="clear" w:pos="567"/>
      </w:tabs>
      <w:spacing w:after="140" w:line="280" w:lineRule="atLeast"/>
    </w:pPr>
    <w:rPr>
      <w:rFonts w:ascii="Courier New" w:hAnsi="Courier New"/>
      <w:i/>
      <w:color w:val="339966"/>
      <w:sz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uiPriority w:val="99"/>
    <w:rsid w:val="00020A03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hAnsi="Verdana"/>
      <w:b/>
      <w:kern w:val="32"/>
      <w:lang w:eastAsia="en-GB"/>
    </w:rPr>
  </w:style>
  <w:style w:type="paragraph" w:customStyle="1" w:styleId="NormalAgency">
    <w:name w:val="Normal (Agency)"/>
    <w:link w:val="NormalAgencyChar"/>
    <w:uiPriority w:val="99"/>
    <w:rsid w:val="00020A03"/>
    <w:rPr>
      <w:rFonts w:ascii="Verdana" w:hAnsi="Verdana"/>
      <w:sz w:val="22"/>
      <w:szCs w:val="22"/>
      <w:lang w:val="en-GB" w:eastAsia="en-GB"/>
    </w:rPr>
  </w:style>
  <w:style w:type="table" w:customStyle="1" w:styleId="TablegridAgencyblack">
    <w:name w:val="Table grid (Agency) black"/>
    <w:uiPriority w:val="99"/>
    <w:semiHidden/>
    <w:rsid w:val="00020A03"/>
    <w:rPr>
      <w:rFonts w:ascii="Verdana" w:eastAsia="SimSun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rowsAgency">
    <w:name w:val="Table heading rows (Agency)"/>
    <w:basedOn w:val="BodytextAgency"/>
    <w:uiPriority w:val="99"/>
    <w:semiHidden/>
    <w:rsid w:val="00020A03"/>
    <w:pPr>
      <w:keepNext/>
    </w:pPr>
    <w:rPr>
      <w:b/>
    </w:rPr>
  </w:style>
  <w:style w:type="paragraph" w:customStyle="1" w:styleId="TabletextrowsAgency">
    <w:name w:val="Table text rows (Agency)"/>
    <w:basedOn w:val="Normal"/>
    <w:uiPriority w:val="99"/>
    <w:semiHidden/>
    <w:rsid w:val="00020A03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uiPriority w:val="99"/>
    <w:locked/>
    <w:rsid w:val="00020A03"/>
    <w:rPr>
      <w:rFonts w:ascii="Verdana" w:hAnsi="Verdana"/>
      <w:sz w:val="18"/>
      <w:lang w:val="en-GB" w:eastAsia="en-GB"/>
    </w:rPr>
  </w:style>
  <w:style w:type="character" w:customStyle="1" w:styleId="NormalAgencyChar">
    <w:name w:val="Normal (Agency) Char"/>
    <w:link w:val="NormalAgency"/>
    <w:uiPriority w:val="99"/>
    <w:locked/>
    <w:rsid w:val="00020A03"/>
    <w:rPr>
      <w:rFonts w:ascii="Verdana" w:hAnsi="Verdana"/>
      <w:sz w:val="22"/>
      <w:lang w:val="en-GB" w:eastAsia="en-GB"/>
    </w:rPr>
  </w:style>
  <w:style w:type="character" w:customStyle="1" w:styleId="DraftingNotesAgencyChar">
    <w:name w:val="Drafting Notes (Agency) Char"/>
    <w:link w:val="DraftingNotesAgency"/>
    <w:uiPriority w:val="99"/>
    <w:locked/>
    <w:rsid w:val="00020A03"/>
    <w:rPr>
      <w:rFonts w:ascii="Courier New" w:hAnsi="Courier New"/>
      <w:i/>
      <w:color w:val="339966"/>
      <w:sz w:val="18"/>
      <w:lang w:val="en-GB" w:eastAsia="en-GB"/>
    </w:rPr>
  </w:style>
  <w:style w:type="character" w:customStyle="1" w:styleId="No-numheading3AgencyChar">
    <w:name w:val="No-num heading 3 (Agency) Char"/>
    <w:link w:val="No-numheading3Agency"/>
    <w:uiPriority w:val="99"/>
    <w:locked/>
    <w:rsid w:val="00020A03"/>
    <w:rPr>
      <w:rFonts w:ascii="Verdana" w:hAnsi="Verdana"/>
      <w:b/>
      <w:kern w:val="32"/>
      <w:sz w:val="22"/>
      <w:lang w:val="en-GB" w:eastAsia="en-GB"/>
    </w:rPr>
  </w:style>
  <w:style w:type="paragraph" w:customStyle="1" w:styleId="Normalold">
    <w:name w:val="Normal (old)"/>
    <w:basedOn w:val="Normal"/>
    <w:uiPriority w:val="99"/>
    <w:rsid w:val="00020A03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eSub-Text11pt">
    <w:name w:val="eSub-Text 11 pt"/>
    <w:uiPriority w:val="99"/>
    <w:rsid w:val="00020A03"/>
    <w:pPr>
      <w:spacing w:after="220"/>
      <w:jc w:val="both"/>
    </w:pPr>
    <w:rPr>
      <w:rFonts w:ascii="Arial" w:hAnsi="Arial"/>
      <w:sz w:val="22"/>
      <w:szCs w:val="22"/>
      <w:lang w:val="en-US" w:eastAsia="de-DE"/>
    </w:rPr>
  </w:style>
  <w:style w:type="numbering" w:customStyle="1" w:styleId="BulletsAgency">
    <w:name w:val="Bullets (Agency)"/>
    <w:rsid w:val="00CF3EEF"/>
    <w:pPr>
      <w:numPr>
        <w:numId w:val="36"/>
      </w:numPr>
    </w:pPr>
  </w:style>
  <w:style w:type="paragraph" w:styleId="Revision">
    <w:name w:val="Revision"/>
    <w:hidden/>
    <w:uiPriority w:val="99"/>
    <w:semiHidden/>
    <w:rsid w:val="00650AD8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51EC9E53B62418B8933E2A491A52C" ma:contentTypeVersion="12" ma:contentTypeDescription="Create a new document." ma:contentTypeScope="" ma:versionID="6cea159384e40051326bf6e7aec9dc80">
  <xsd:schema xmlns:xsd="http://www.w3.org/2001/XMLSchema" xmlns:xs="http://www.w3.org/2001/XMLSchema" xmlns:p="http://schemas.microsoft.com/office/2006/metadata/properties" xmlns:ns2="7b288429-e676-4570-873a-a7c5b5599bbf" xmlns:ns3="97aa6acc-be1c-48dd-afcb-431185f47cbf" targetNamespace="http://schemas.microsoft.com/office/2006/metadata/properties" ma:root="true" ma:fieldsID="8e5ad24b42f477c77e531d11e3d6dbd3" ns2:_="" ns3:_="">
    <xsd:import namespace="7b288429-e676-4570-873a-a7c5b5599bbf"/>
    <xsd:import namespace="97aa6acc-be1c-48dd-afcb-431185f47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8429-e676-4570-873a-a7c5b5599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a6acc-be1c-48dd-afcb-431185f47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8A9C1-A195-40A4-87C6-6B5E9A3C7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8429-e676-4570-873a-a7c5b5599bbf"/>
    <ds:schemaRef ds:uri="97aa6acc-be1c-48dd-afcb-431185f47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21C2B-AA82-4A38-A086-86AD7A10B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0FEF4-36DD-461E-8BE5-B60FCFC2EE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1537</Words>
  <Characters>9226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EN_qrd_veterinary template_v.8 en</vt:lpstr>
      <vt:lpstr>EN_qrd_veterinary template_v.8 en</vt:lpstr>
    </vt:vector>
  </TitlesOfParts>
  <Company>EMEA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EN_qrd_veterinary template_v.8 en</dc:title>
  <dc:subject>General-EMA/201224/2010</dc:subject>
  <dc:creator>Andrea Hentges</dc:creator>
  <cp:lastModifiedBy>dp</cp:lastModifiedBy>
  <cp:revision>4</cp:revision>
  <cp:lastPrinted>2015-10-22T07:49:00Z</cp:lastPrinted>
  <dcterms:created xsi:type="dcterms:W3CDTF">2024-01-25T11:06:00Z</dcterms:created>
  <dcterms:modified xsi:type="dcterms:W3CDTF">2024-10-16T12:07:00Z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s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30/10/2012 16:42:44</vt:lpwstr>
  </property>
  <property fmtid="{D5CDD505-2E9C-101B-9397-08002B2CF9AE}" pid="5" name="DM_Creator_Name">
    <vt:lpwstr>Prizzi Monica</vt:lpwstr>
  </property>
  <property fmtid="{D5CDD505-2E9C-101B-9397-08002B2CF9AE}" pid="6" name="DM_DocRefId">
    <vt:lpwstr>EMA/418124/2012</vt:lpwstr>
  </property>
  <property fmtid="{D5CDD505-2E9C-101B-9397-08002B2CF9AE}" pid="7" name="DM_emea_bcc">
    <vt:lpwstr/>
  </property>
  <property fmtid="{D5CDD505-2E9C-101B-9397-08002B2CF9AE}" pid="8" name="DM_emea_cc">
    <vt:lpwstr/>
  </property>
  <property fmtid="{D5CDD505-2E9C-101B-9397-08002B2CF9AE}" pid="9" name="DM_emea_doc_category">
    <vt:lpwstr>General</vt:lpwstr>
  </property>
  <property fmtid="{D5CDD505-2E9C-101B-9397-08002B2CF9AE}" pid="10" name="DM_emea_doc_lang">
    <vt:lpwstr/>
  </property>
  <property fmtid="{D5CDD505-2E9C-101B-9397-08002B2CF9AE}" pid="11" name="DM_emea_doc_number">
    <vt:lpwstr>201224</vt:lpwstr>
  </property>
  <property fmtid="{D5CDD505-2E9C-101B-9397-08002B2CF9AE}" pid="12" name="DM_emea_doc_ref_id">
    <vt:lpwstr>EMA/418124/2012</vt:lpwstr>
  </property>
  <property fmtid="{D5CDD505-2E9C-101B-9397-08002B2CF9AE}" pid="13" name="DM_emea_from">
    <vt:lpwstr/>
  </property>
  <property fmtid="{D5CDD505-2E9C-101B-9397-08002B2CF9AE}" pid="14" name="DM_emea_internal_label">
    <vt:lpwstr>EMA</vt:lpwstr>
  </property>
  <property fmtid="{D5CDD505-2E9C-101B-9397-08002B2CF9AE}" pid="15" name="DM_emea_legal_date">
    <vt:lpwstr>nulldate</vt:lpwstr>
  </property>
  <property fmtid="{D5CDD505-2E9C-101B-9397-08002B2CF9AE}" pid="16" name="DM_emea_meeting_action">
    <vt:lpwstr/>
  </property>
  <property fmtid="{D5CDD505-2E9C-101B-9397-08002B2CF9AE}" pid="17" name="DM_emea_meeting_flags">
    <vt:lpwstr/>
  </property>
  <property fmtid="{D5CDD505-2E9C-101B-9397-08002B2CF9AE}" pid="18" name="DM_emea_meeting_hyperlink">
    <vt:lpwstr/>
  </property>
  <property fmtid="{D5CDD505-2E9C-101B-9397-08002B2CF9AE}" pid="19" name="DM_emea_meeting_ref">
    <vt:lpwstr/>
  </property>
  <property fmtid="{D5CDD505-2E9C-101B-9397-08002B2CF9AE}" pid="20" name="DM_emea_meeting_status">
    <vt:lpwstr/>
  </property>
  <property fmtid="{D5CDD505-2E9C-101B-9397-08002B2CF9AE}" pid="21" name="DM_emea_meeting_title">
    <vt:lpwstr/>
  </property>
  <property fmtid="{D5CDD505-2E9C-101B-9397-08002B2CF9AE}" pid="22" name="DM_emea_message_subject">
    <vt:lpwstr/>
  </property>
  <property fmtid="{D5CDD505-2E9C-101B-9397-08002B2CF9AE}" pid="23" name="DM_emea_received_date">
    <vt:lpwstr>nulldate</vt:lpwstr>
  </property>
  <property fmtid="{D5CDD505-2E9C-101B-9397-08002B2CF9AE}" pid="24" name="DM_emea_resp_body">
    <vt:lpwstr/>
  </property>
  <property fmtid="{D5CDD505-2E9C-101B-9397-08002B2CF9AE}" pid="25" name="DM_emea_revision_label">
    <vt:lpwstr/>
  </property>
  <property fmtid="{D5CDD505-2E9C-101B-9397-08002B2CF9AE}" pid="26" name="DM_emea_sent_date">
    <vt:lpwstr>nulldate</vt:lpwstr>
  </property>
  <property fmtid="{D5CDD505-2E9C-101B-9397-08002B2CF9AE}" pid="27" name="DM_emea_to">
    <vt:lpwstr/>
  </property>
  <property fmtid="{D5CDD505-2E9C-101B-9397-08002B2CF9AE}" pid="28" name="DM_emea_year">
    <vt:lpwstr>2010</vt:lpwstr>
  </property>
  <property fmtid="{D5CDD505-2E9C-101B-9397-08002B2CF9AE}" pid="29" name="DM_Keywords">
    <vt:lpwstr/>
  </property>
  <property fmtid="{D5CDD505-2E9C-101B-9397-08002B2CF9AE}" pid="30" name="DM_Language">
    <vt:lpwstr/>
  </property>
  <property fmtid="{D5CDD505-2E9C-101B-9397-08002B2CF9AE}" pid="31" name="DM_Modifer_Name">
    <vt:lpwstr>Prizzi Monica</vt:lpwstr>
  </property>
  <property fmtid="{D5CDD505-2E9C-101B-9397-08002B2CF9AE}" pid="32" name="DM_Modified_Date">
    <vt:lpwstr>30/10/2012 17:03:10</vt:lpwstr>
  </property>
  <property fmtid="{D5CDD505-2E9C-101B-9397-08002B2CF9AE}" pid="33" name="DM_Modifier_Name">
    <vt:lpwstr>Prizzi Monica</vt:lpwstr>
  </property>
  <property fmtid="{D5CDD505-2E9C-101B-9397-08002B2CF9AE}" pid="34" name="DM_Modify_Date">
    <vt:lpwstr>30/10/2012 17:03:10</vt:lpwstr>
  </property>
  <property fmtid="{D5CDD505-2E9C-101B-9397-08002B2CF9AE}" pid="35" name="DM_Name">
    <vt:lpwstr>EN_qrd_veterinary template_v.8 en</vt:lpwstr>
  </property>
  <property fmtid="{D5CDD505-2E9C-101B-9397-08002B2CF9AE}" pid="36" name="DM_Owner">
    <vt:lpwstr>Prizzi Monica</vt:lpwstr>
  </property>
  <property fmtid="{D5CDD505-2E9C-101B-9397-08002B2CF9AE}" pid="37" name="DM_Path">
    <vt:lpwstr>/02b. Administration of Scientific Meeting/WPs SAGs DGs and other WGs/CxMP - QRD/3. Other activities/02. Procedures/01. QRD PI templates/02 QRD Veterinary templates/06 V-template v.8 - for publication June 2012/03 Templates ready for publication</vt:lpwstr>
  </property>
  <property fmtid="{D5CDD505-2E9C-101B-9397-08002B2CF9AE}" pid="38" name="DM_Status">
    <vt:lpwstr/>
  </property>
  <property fmtid="{D5CDD505-2E9C-101B-9397-08002B2CF9AE}" pid="39" name="DM_Subject">
    <vt:lpwstr>General-EMA/201224/2010</vt:lpwstr>
  </property>
  <property fmtid="{D5CDD505-2E9C-101B-9397-08002B2CF9AE}" pid="40" name="DM_Title">
    <vt:lpwstr/>
  </property>
  <property fmtid="{D5CDD505-2E9C-101B-9397-08002B2CF9AE}" pid="41" name="DM_Type">
    <vt:lpwstr>emea_document</vt:lpwstr>
  </property>
  <property fmtid="{D5CDD505-2E9C-101B-9397-08002B2CF9AE}" pid="42" name="DM_Version">
    <vt:lpwstr>CURRENT,2.3</vt:lpwstr>
  </property>
  <property fmtid="{D5CDD505-2E9C-101B-9397-08002B2CF9AE}" pid="43" name="EMEADocClassificationCode">
    <vt:lpwstr/>
  </property>
  <property fmtid="{D5CDD505-2E9C-101B-9397-08002B2CF9AE}" pid="44" name="EMEADocClassificationHidden">
    <vt:lpwstr>N</vt:lpwstr>
  </property>
  <property fmtid="{D5CDD505-2E9C-101B-9397-08002B2CF9AE}" pid="45" name="EMEADocClassificationText">
    <vt:lpwstr/>
  </property>
  <property fmtid="{D5CDD505-2E9C-101B-9397-08002B2CF9AE}" pid="46" name="EMEADocDate">
    <vt:lpwstr>20020723</vt:lpwstr>
  </property>
  <property fmtid="{D5CDD505-2E9C-101B-9397-08002B2CF9AE}" pid="47" name="EMEADocDateDay">
    <vt:lpwstr>23</vt:lpwstr>
  </property>
  <property fmtid="{D5CDD505-2E9C-101B-9397-08002B2CF9AE}" pid="48" name="EMEADocDateMonth">
    <vt:lpwstr>July</vt:lpwstr>
  </property>
  <property fmtid="{D5CDD505-2E9C-101B-9397-08002B2CF9AE}" pid="49" name="EMEADocDateYear">
    <vt:lpwstr>2002</vt:lpwstr>
  </property>
  <property fmtid="{D5CDD505-2E9C-101B-9397-08002B2CF9AE}" pid="50" name="EMEADocExtCatTitle">
    <vt:lpwstr>The Title will not be included in the External Catalogue.</vt:lpwstr>
  </property>
  <property fmtid="{D5CDD505-2E9C-101B-9397-08002B2CF9AE}" pid="51" name="EMEADocLanguage">
    <vt:lpwstr>en</vt:lpwstr>
  </property>
  <property fmtid="{D5CDD505-2E9C-101B-9397-08002B2CF9AE}" pid="52" name="EMEADocRefFull">
    <vt:lpwstr>EMEA/18389/02/en</vt:lpwstr>
  </property>
  <property fmtid="{D5CDD505-2E9C-101B-9397-08002B2CF9AE}" pid="53" name="EMEADocRefNum">
    <vt:lpwstr>18389</vt:lpwstr>
  </property>
  <property fmtid="{D5CDD505-2E9C-101B-9397-08002B2CF9AE}" pid="54" name="EMEADocRefPart0">
    <vt:lpwstr>EMEA</vt:lpwstr>
  </property>
  <property fmtid="{D5CDD505-2E9C-101B-9397-08002B2CF9AE}" pid="55" name="EMEADocRefPart1">
    <vt:lpwstr/>
  </property>
  <property fmtid="{D5CDD505-2E9C-101B-9397-08002B2CF9AE}" pid="56" name="EMEADocRefPart2">
    <vt:lpwstr/>
  </property>
  <property fmtid="{D5CDD505-2E9C-101B-9397-08002B2CF9AE}" pid="57" name="EMEADocRefPart3">
    <vt:lpwstr/>
  </property>
  <property fmtid="{D5CDD505-2E9C-101B-9397-08002B2CF9AE}" pid="58" name="EMEADocRefPartFreeText">
    <vt:lpwstr/>
  </property>
  <property fmtid="{D5CDD505-2E9C-101B-9397-08002B2CF9AE}" pid="59" name="EMEADocRefRoot">
    <vt:lpwstr>EMEA/18389/02</vt:lpwstr>
  </property>
  <property fmtid="{D5CDD505-2E9C-101B-9397-08002B2CF9AE}" pid="60" name="EMEADocRefYear">
    <vt:lpwstr>02</vt:lpwstr>
  </property>
  <property fmtid="{D5CDD505-2E9C-101B-9397-08002B2CF9AE}" pid="61" name="EMEADocStatus">
    <vt:lpwstr/>
  </property>
  <property fmtid="{D5CDD505-2E9C-101B-9397-08002B2CF9AE}" pid="62" name="EMEADocTitle">
    <vt:lpwstr> SPC veterinary template</vt:lpwstr>
  </property>
  <property fmtid="{D5CDD505-2E9C-101B-9397-08002B2CF9AE}" pid="63" name="EMEADocTypeCode">
    <vt:lpwstr>tran</vt:lpwstr>
  </property>
  <property fmtid="{D5CDD505-2E9C-101B-9397-08002B2CF9AE}" pid="64" name="EMEADocVersion">
    <vt:lpwstr/>
  </property>
  <property fmtid="{D5CDD505-2E9C-101B-9397-08002B2CF9AE}" pid="65" name="ContentTypeId">
    <vt:lpwstr>0x010100BB551EC9E53B62418B8933E2A491A52C</vt:lpwstr>
  </property>
</Properties>
</file>