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3F1" w14:textId="5D226235" w:rsidR="00811558" w:rsidRDefault="00E07A00">
      <w:pPr>
        <w:pStyle w:val="BodyText"/>
        <w:ind w:right="175"/>
        <w:jc w:val="center"/>
      </w:pPr>
      <w:r>
        <w:t xml:space="preserve">ECC Stability/Chronic Absenteeism Workgroup </w:t>
      </w:r>
      <w:r w:rsidR="001D32CD">
        <w:t>Work</w:t>
      </w:r>
      <w:r w:rsidR="001D32CD">
        <w:rPr>
          <w:spacing w:val="-8"/>
        </w:rPr>
        <w:t xml:space="preserve"> </w:t>
      </w:r>
      <w:r w:rsidR="001D32CD">
        <w:rPr>
          <w:spacing w:val="-4"/>
        </w:rPr>
        <w:t>Plan</w:t>
      </w:r>
    </w:p>
    <w:p w14:paraId="4013F3F2" w14:textId="77777777" w:rsidR="00811558" w:rsidRDefault="00811558">
      <w:pPr>
        <w:pStyle w:val="BodyText"/>
        <w:spacing w:before="50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371"/>
        <w:gridCol w:w="10149"/>
        <w:gridCol w:w="1275"/>
      </w:tblGrid>
      <w:tr w:rsidR="00DC69D1" w14:paraId="4013F3F8" w14:textId="77777777" w:rsidTr="00C166F7">
        <w:trPr>
          <w:trHeight w:val="1719"/>
          <w:jc w:val="center"/>
        </w:trPr>
        <w:tc>
          <w:tcPr>
            <w:tcW w:w="2986" w:type="dxa"/>
            <w:gridSpan w:val="2"/>
            <w:shd w:val="clear" w:color="auto" w:fill="002060"/>
            <w:vAlign w:val="center"/>
          </w:tcPr>
          <w:p w14:paraId="4013F3F5" w14:textId="0290496D" w:rsidR="00DC69D1" w:rsidRDefault="001124F7" w:rsidP="00632F4B"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 w:rsidRPr="006C70C0">
              <w:rPr>
                <w:rFonts w:ascii="Calibri"/>
                <w:b/>
                <w:sz w:val="24"/>
                <w:u w:val="single"/>
              </w:rPr>
              <w:t>Priority Area</w:t>
            </w:r>
            <w:r w:rsidR="005520AC" w:rsidRPr="006C70C0">
              <w:rPr>
                <w:rFonts w:ascii="Calibri"/>
                <w:b/>
                <w:sz w:val="24"/>
                <w:u w:val="single"/>
              </w:rPr>
              <w:t>:</w:t>
            </w:r>
            <w:r w:rsidR="005520AC">
              <w:rPr>
                <w:rFonts w:ascii="Calibri"/>
                <w:b/>
                <w:sz w:val="24"/>
              </w:rPr>
              <w:t xml:space="preserve"> </w:t>
            </w:r>
            <w:r w:rsidR="00FC442F">
              <w:rPr>
                <w:rFonts w:ascii="Calibri"/>
                <w:b/>
                <w:sz w:val="24"/>
              </w:rPr>
              <w:t xml:space="preserve"> </w:t>
            </w:r>
            <w:r w:rsidR="005520AC" w:rsidRPr="006C70C0">
              <w:rPr>
                <w:rFonts w:ascii="Calibri"/>
                <w:bCs/>
                <w:sz w:val="24"/>
              </w:rPr>
              <w:t>Stability</w:t>
            </w:r>
          </w:p>
        </w:tc>
        <w:tc>
          <w:tcPr>
            <w:tcW w:w="11424" w:type="dxa"/>
            <w:gridSpan w:val="2"/>
            <w:shd w:val="clear" w:color="auto" w:fill="002060"/>
            <w:vAlign w:val="center"/>
          </w:tcPr>
          <w:p w14:paraId="00BFD5A0" w14:textId="2A440B40" w:rsidR="0029081E" w:rsidRDefault="002603A6" w:rsidP="00D51269">
            <w:pPr>
              <w:pStyle w:val="TableParagraph"/>
              <w:spacing w:before="292" w:line="273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Activities</w:t>
            </w:r>
            <w:r w:rsidR="00A15F86">
              <w:rPr>
                <w:rFonts w:ascii="Calibri"/>
                <w:b/>
                <w:sz w:val="24"/>
                <w:u w:val="single"/>
              </w:rPr>
              <w:t>/Action Steps</w:t>
            </w:r>
            <w:r w:rsidR="006C70C0" w:rsidRPr="006C70C0">
              <w:rPr>
                <w:rFonts w:ascii="Calibri"/>
                <w:b/>
                <w:sz w:val="24"/>
                <w:u w:val="single"/>
              </w:rPr>
              <w:t>:</w:t>
            </w:r>
            <w:r w:rsidR="006C70C0">
              <w:rPr>
                <w:rFonts w:ascii="Calibri"/>
                <w:b/>
                <w:sz w:val="24"/>
              </w:rPr>
              <w:t xml:space="preserve"> </w:t>
            </w:r>
          </w:p>
          <w:p w14:paraId="4013F3F7" w14:textId="379E1C46" w:rsidR="0029081E" w:rsidRPr="00793F87" w:rsidRDefault="007223E9" w:rsidP="00793F87">
            <w:pPr>
              <w:pStyle w:val="TableParagraph"/>
              <w:spacing w:before="292" w:line="273" w:lineRule="exact"/>
              <w:ind w:left="109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>Develop and disseminate resources for youth, ERHs, caregivers, CASAs, service providers, County staff, school-district staff, and bench officers on school stability rights of youth involved in systems.</w:t>
            </w:r>
          </w:p>
        </w:tc>
      </w:tr>
      <w:tr w:rsidR="00BC37B2" w14:paraId="4C351CAB" w14:textId="77777777" w:rsidTr="00DC2F9C">
        <w:trPr>
          <w:trHeight w:val="819"/>
          <w:jc w:val="center"/>
        </w:trPr>
        <w:tc>
          <w:tcPr>
            <w:tcW w:w="1615" w:type="dxa"/>
            <w:shd w:val="clear" w:color="auto" w:fill="95B3D7" w:themeFill="accent1" w:themeFillTint="99"/>
            <w:vAlign w:val="center"/>
          </w:tcPr>
          <w:p w14:paraId="7C66DD40" w14:textId="00585E7D" w:rsidR="00BC37B2" w:rsidRDefault="00BC37B2" w:rsidP="00BC37B2">
            <w:pPr>
              <w:pStyle w:val="TableParagraph"/>
              <w:ind w:left="0"/>
              <w:jc w:val="center"/>
              <w:rPr>
                <w:rFonts w:ascii="Calibri"/>
                <w:b/>
                <w:sz w:val="24"/>
              </w:rPr>
            </w:pPr>
            <w:bookmarkStart w:id="0" w:name="_Hlk184719753"/>
            <w:r>
              <w:rPr>
                <w:rFonts w:ascii="Calibri"/>
                <w:b/>
                <w:spacing w:val="-2"/>
                <w:sz w:val="24"/>
              </w:rPr>
              <w:t>Deadline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142E5ED" w14:textId="7B8CF6B3" w:rsidR="00BC37B2" w:rsidRDefault="00BC37B2" w:rsidP="00D51269">
            <w:pPr>
              <w:pStyle w:val="TableParagraph"/>
              <w:spacing w:before="1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Lead(s)</w:t>
            </w:r>
          </w:p>
        </w:tc>
        <w:tc>
          <w:tcPr>
            <w:tcW w:w="10149" w:type="dxa"/>
            <w:shd w:val="clear" w:color="auto" w:fill="95B3D7" w:themeFill="accent1" w:themeFillTint="99"/>
            <w:vAlign w:val="center"/>
          </w:tcPr>
          <w:p w14:paraId="4E7B6A5F" w14:textId="69E1283C" w:rsidR="00BC37B2" w:rsidRDefault="00BC37B2" w:rsidP="00BC37B2">
            <w:pPr>
              <w:pStyle w:val="TableParagraph"/>
              <w:spacing w:line="290" w:lineRule="atLeast"/>
              <w:ind w:right="16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Task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6FAC9DF8" w14:textId="7DD185B2" w:rsidR="00BC37B2" w:rsidRDefault="00BC37B2" w:rsidP="00BC37B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Calibri"/>
                <w:b/>
                <w:spacing w:val="-2"/>
                <w:sz w:val="24"/>
              </w:rPr>
              <w:t>Status</w:t>
            </w:r>
          </w:p>
        </w:tc>
      </w:tr>
      <w:bookmarkEnd w:id="0"/>
      <w:tr w:rsidR="00933398" w14:paraId="4013F402" w14:textId="77777777" w:rsidTr="00DC2F9C">
        <w:trPr>
          <w:trHeight w:val="80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3FC" w14:textId="12D9924A" w:rsidR="00933398" w:rsidRPr="00A54402" w:rsidRDefault="005B30E2" w:rsidP="00A54402">
            <w:pPr>
              <w:pStyle w:val="TableParagraph"/>
              <w:spacing w:line="273" w:lineRule="exact"/>
              <w:ind w:left="0"/>
              <w:jc w:val="center"/>
              <w:rPr>
                <w:bCs/>
              </w:rPr>
            </w:pPr>
            <w:r>
              <w:rPr>
                <w:bCs/>
              </w:rPr>
              <w:t>June</w:t>
            </w:r>
            <w:r w:rsidR="00977E5D">
              <w:rPr>
                <w:bCs/>
              </w:rPr>
              <w:t xml:space="preserve">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3FF" w14:textId="5388E318" w:rsidR="00933398" w:rsidRDefault="00933398" w:rsidP="00933398">
            <w:pPr>
              <w:pStyle w:val="TableParagraph"/>
              <w:ind w:left="0"/>
              <w:jc w:val="center"/>
              <w:rPr>
                <w:rFonts w:ascii="Calibri"/>
                <w:sz w:val="24"/>
              </w:rPr>
            </w:pPr>
            <w:r>
              <w:t>DCFS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00" w14:textId="29E8CEC1" w:rsidR="00933398" w:rsidRPr="004C19B7" w:rsidRDefault="00933398" w:rsidP="00933398">
            <w:pPr>
              <w:pStyle w:val="TableParagraph"/>
              <w:spacing w:line="290" w:lineRule="atLeast"/>
              <w:ind w:right="168"/>
            </w:pPr>
            <w:r w:rsidRPr="004C19B7">
              <w:rPr>
                <w:b/>
              </w:rPr>
              <w:t>Caregiver Training –</w:t>
            </w:r>
            <w:r w:rsidRPr="004C19B7">
              <w:rPr>
                <w:b/>
                <w:spacing w:val="-4"/>
              </w:rPr>
              <w:t xml:space="preserve"> </w:t>
            </w:r>
            <w:r w:rsidRPr="004C19B7">
              <w:t xml:space="preserve">Work to incorporate education on </w:t>
            </w:r>
            <w:r w:rsidR="007223E9">
              <w:t xml:space="preserve">responsibility of Education Rights Holders and </w:t>
            </w:r>
            <w:r w:rsidRPr="004C19B7">
              <w:t>SOO into caregiver trainings.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01" w14:textId="181D7C84" w:rsidR="00933398" w:rsidRPr="00492940" w:rsidRDefault="00933398" w:rsidP="00933398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933398" w14:paraId="4013F408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03" w14:textId="4649A0DD" w:rsidR="00933398" w:rsidRPr="00C407DF" w:rsidRDefault="00ED4E62" w:rsidP="00CA40E0">
            <w:pPr>
              <w:pStyle w:val="TableParagraph"/>
              <w:spacing w:before="3" w:line="232" w:lineRule="auto"/>
              <w:ind w:left="107" w:right="133"/>
              <w:jc w:val="center"/>
            </w:pPr>
            <w:r w:rsidRPr="00C407DF">
              <w:t>On</w:t>
            </w:r>
            <w:r w:rsidR="00F3043D">
              <w:t>g</w:t>
            </w:r>
            <w:r w:rsidRPr="00C407DF">
              <w:t>oing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05" w14:textId="220B8D5F" w:rsidR="00933398" w:rsidRDefault="001A5AAA" w:rsidP="00933398">
            <w:pPr>
              <w:pStyle w:val="TableParagraph"/>
              <w:spacing w:line="250" w:lineRule="exact"/>
              <w:jc w:val="center"/>
            </w:pPr>
            <w:r>
              <w:t>LACOE</w:t>
            </w:r>
            <w:r w:rsidR="000F4F4E">
              <w:t xml:space="preserve"> &amp; DCFS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06" w14:textId="31050DA2" w:rsidR="00933398" w:rsidRDefault="00604365" w:rsidP="00933398">
            <w:pPr>
              <w:pStyle w:val="TableParagraph"/>
              <w:spacing w:line="242" w:lineRule="auto"/>
            </w:pPr>
            <w:r w:rsidRPr="00252D18">
              <w:rPr>
                <w:b/>
                <w:bCs/>
              </w:rPr>
              <w:t xml:space="preserve">Dissemination of Caregiver Training Opportunities </w:t>
            </w:r>
            <w:r w:rsidR="00BC3362" w:rsidRPr="00252D18">
              <w:rPr>
                <w:b/>
                <w:bCs/>
              </w:rPr>
              <w:t>–</w:t>
            </w:r>
            <w:r>
              <w:t xml:space="preserve"> </w:t>
            </w:r>
            <w:r w:rsidR="00BC3362">
              <w:t xml:space="preserve">Compile list of </w:t>
            </w:r>
            <w:r w:rsidR="00843B51">
              <w:t xml:space="preserve">available training opportunities for caregivers around </w:t>
            </w:r>
            <w:r w:rsidR="00DB7F14">
              <w:t>SOO, Stability</w:t>
            </w:r>
            <w:r w:rsidR="00ED4E62">
              <w:t>, and K</w:t>
            </w:r>
            <w:r w:rsidR="009E58BA">
              <w:t>–</w:t>
            </w:r>
            <w:r w:rsidR="00ED4E62">
              <w:t>12 and circulate with workgroup members</w:t>
            </w:r>
            <w:r w:rsidR="00A15810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07" w14:textId="77777777" w:rsidR="00933398" w:rsidRPr="00492940" w:rsidRDefault="00933398" w:rsidP="00933398">
            <w:pPr>
              <w:pStyle w:val="TableParagraph"/>
              <w:ind w:left="0"/>
              <w:jc w:val="center"/>
            </w:pPr>
          </w:p>
        </w:tc>
      </w:tr>
      <w:tr w:rsidR="007223E9" w14:paraId="4C455C8B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725DF53" w14:textId="1809D4B0" w:rsidR="007223E9" w:rsidRPr="00C407DF" w:rsidRDefault="007223E9" w:rsidP="007223E9">
            <w:pPr>
              <w:pStyle w:val="TableParagraph"/>
              <w:spacing w:before="3" w:line="232" w:lineRule="auto"/>
              <w:ind w:left="107" w:right="133"/>
              <w:jc w:val="center"/>
            </w:pPr>
            <w:r>
              <w:rPr>
                <w:bCs/>
              </w:rPr>
              <w:t>February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F558C1" w14:textId="4C3127E6" w:rsidR="007223E9" w:rsidRDefault="007223E9" w:rsidP="007223E9">
            <w:pPr>
              <w:pStyle w:val="TableParagraph"/>
              <w:spacing w:line="250" w:lineRule="exact"/>
              <w:jc w:val="center"/>
            </w:pPr>
            <w:r>
              <w:rPr>
                <w:spacing w:val="-2"/>
              </w:rP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795AC9A3" w14:textId="14D472BB" w:rsidR="007223E9" w:rsidRPr="00252D18" w:rsidRDefault="007223E9" w:rsidP="007223E9">
            <w:pPr>
              <w:pStyle w:val="TableParagraph"/>
              <w:spacing w:line="242" w:lineRule="auto"/>
              <w:rPr>
                <w:b/>
                <w:bCs/>
              </w:rPr>
            </w:pPr>
            <w:r>
              <w:rPr>
                <w:b/>
              </w:rPr>
              <w:t>Education for Young People –</w:t>
            </w:r>
            <w:r>
              <w:rPr>
                <w:b/>
                <w:spacing w:val="-1"/>
              </w:rPr>
              <w:t xml:space="preserve"> </w:t>
            </w:r>
            <w:r>
              <w:t xml:space="preserve">Collaborate with school districts, advocates, and DCFS to disseminate </w:t>
            </w:r>
            <w:r w:rsidRPr="00DD75DA">
              <w:t>Education Rights Videos for Young People and by Young People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67724" w14:textId="03DDAA99" w:rsidR="007223E9" w:rsidRPr="00492940" w:rsidRDefault="007223E9" w:rsidP="007223E9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7223E9" w14:paraId="3BC2D725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6E4758" w14:textId="11AD2889" w:rsidR="007223E9" w:rsidRPr="00C407DF" w:rsidRDefault="007223E9" w:rsidP="007223E9">
            <w:pPr>
              <w:pStyle w:val="TableParagraph"/>
              <w:spacing w:before="3" w:line="232" w:lineRule="auto"/>
              <w:ind w:left="107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Ongoing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FB3F0C1" w14:textId="34E0AADC" w:rsidR="007223E9" w:rsidRDefault="007223E9" w:rsidP="007223E9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DCFS</w:t>
            </w:r>
            <w:r w:rsidR="00877553">
              <w:rPr>
                <w:spacing w:val="-2"/>
              </w:rPr>
              <w:t>, LACOE,</w:t>
            </w:r>
            <w:r>
              <w:rPr>
                <w:spacing w:val="-2"/>
              </w:rPr>
              <w:t xml:space="preserve"> </w:t>
            </w:r>
            <w:r w:rsidR="00036262">
              <w:rPr>
                <w:spacing w:val="-2"/>
              </w:rPr>
              <w:t>and</w:t>
            </w:r>
            <w:r>
              <w:rPr>
                <w:spacing w:val="-2"/>
              </w:rPr>
              <w:t xml:space="preserve"> School Districts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35280AA2" w14:textId="2267002B" w:rsidR="007223E9" w:rsidRDefault="007C7689" w:rsidP="007223E9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School S</w:t>
            </w:r>
            <w:r w:rsidR="007223E9">
              <w:rPr>
                <w:b/>
              </w:rPr>
              <w:t xml:space="preserve">taff Training – </w:t>
            </w:r>
            <w:r w:rsidR="007223E9" w:rsidRPr="00092015">
              <w:rPr>
                <w:bCs/>
              </w:rPr>
              <w:t>DCFS Education Section continue to work with School Districts to provide training to on-site school staff on SOO/Stability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CBFB1" w14:textId="44FD58EF" w:rsidR="007223E9" w:rsidRPr="00492940" w:rsidRDefault="007223E9" w:rsidP="007223E9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7C7689" w14:paraId="4E020271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97F9C1" w14:textId="74B2FBF4" w:rsidR="007C7689" w:rsidRDefault="00175475" w:rsidP="007223E9">
            <w:pPr>
              <w:pStyle w:val="TableParagraph"/>
              <w:spacing w:before="3" w:line="232" w:lineRule="auto"/>
              <w:ind w:left="107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December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5553AF4" w14:textId="6F0C76FE" w:rsidR="007C7689" w:rsidRDefault="007C7689" w:rsidP="007223E9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DCFS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089B3526" w14:textId="78C0F958" w:rsidR="006F5032" w:rsidRDefault="007C7689" w:rsidP="007223E9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 xml:space="preserve">CSW Staff Training – </w:t>
            </w:r>
            <w:r w:rsidRPr="007C7689">
              <w:rPr>
                <w:bCs/>
              </w:rPr>
              <w:t>DCFS work to incorporate SOO/Stability</w:t>
            </w:r>
            <w:r>
              <w:rPr>
                <w:bCs/>
              </w:rPr>
              <w:t xml:space="preserve"> </w:t>
            </w:r>
            <w:r w:rsidRPr="007C7689">
              <w:rPr>
                <w:bCs/>
              </w:rPr>
              <w:t>into their mandated CSW K</w:t>
            </w:r>
            <w:r w:rsidR="00A732ED">
              <w:rPr>
                <w:bCs/>
              </w:rPr>
              <w:t>–</w:t>
            </w:r>
            <w:r w:rsidRPr="007C7689">
              <w:rPr>
                <w:bCs/>
              </w:rPr>
              <w:t>12 education training.</w:t>
            </w:r>
            <w:r>
              <w:rPr>
                <w:b/>
              </w:rPr>
              <w:t xml:space="preserve"> </w:t>
            </w:r>
          </w:p>
          <w:p w14:paraId="10379905" w14:textId="77777777" w:rsidR="006F5032" w:rsidRDefault="006F5032" w:rsidP="007223E9">
            <w:pPr>
              <w:pStyle w:val="TableParagraph"/>
              <w:spacing w:line="242" w:lineRule="auto"/>
              <w:rPr>
                <w:bCs/>
              </w:rPr>
            </w:pPr>
          </w:p>
          <w:p w14:paraId="71C3744F" w14:textId="27CFD0BE" w:rsidR="007C7689" w:rsidRDefault="00CE0C2C" w:rsidP="007223E9">
            <w:pPr>
              <w:pStyle w:val="TableParagraph"/>
              <w:spacing w:line="242" w:lineRule="auto"/>
              <w:rPr>
                <w:b/>
              </w:rPr>
            </w:pPr>
            <w:r w:rsidRPr="006F5032">
              <w:rPr>
                <w:bCs/>
              </w:rPr>
              <w:t xml:space="preserve">Work with DCFS leadership to mandate SOO/Stability training for </w:t>
            </w:r>
            <w:r w:rsidR="006F5032" w:rsidRPr="006F5032">
              <w:rPr>
                <w:bCs/>
              </w:rPr>
              <w:t>CSWs.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1FA73" w14:textId="77777777" w:rsidR="007C7689" w:rsidRDefault="007C7689" w:rsidP="007223E9">
            <w:pPr>
              <w:pStyle w:val="TableParagraph"/>
              <w:ind w:left="0"/>
              <w:jc w:val="center"/>
            </w:pPr>
          </w:p>
        </w:tc>
      </w:tr>
      <w:tr w:rsidR="007223E9" w14:paraId="4013F415" w14:textId="77777777" w:rsidTr="00C166F7">
        <w:trPr>
          <w:trHeight w:val="2034"/>
          <w:jc w:val="center"/>
        </w:trPr>
        <w:tc>
          <w:tcPr>
            <w:tcW w:w="2986" w:type="dxa"/>
            <w:gridSpan w:val="2"/>
            <w:shd w:val="clear" w:color="auto" w:fill="002060"/>
            <w:vAlign w:val="center"/>
          </w:tcPr>
          <w:p w14:paraId="4013F411" w14:textId="68D943C4" w:rsidR="007223E9" w:rsidRDefault="007223E9" w:rsidP="009E58BA">
            <w:pPr>
              <w:pStyle w:val="TableParagraph"/>
              <w:pageBreakBefore/>
              <w:spacing w:line="250" w:lineRule="exact"/>
              <w:ind w:left="115"/>
            </w:pPr>
            <w:bookmarkStart w:id="1" w:name="_Hlk183511057"/>
            <w:r w:rsidRPr="006C70C0">
              <w:rPr>
                <w:rFonts w:ascii="Calibri"/>
                <w:b/>
                <w:sz w:val="24"/>
                <w:u w:val="single"/>
              </w:rPr>
              <w:lastRenderedPageBreak/>
              <w:t>Priority Area: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9E58BA">
              <w:rPr>
                <w:rFonts w:ascii="Calibri"/>
                <w:b/>
                <w:sz w:val="24"/>
              </w:rPr>
              <w:t xml:space="preserve"> </w:t>
            </w:r>
            <w:r w:rsidRPr="006C70C0">
              <w:rPr>
                <w:rFonts w:ascii="Calibri"/>
                <w:bCs/>
                <w:sz w:val="24"/>
              </w:rPr>
              <w:t>Stability</w:t>
            </w:r>
          </w:p>
        </w:tc>
        <w:tc>
          <w:tcPr>
            <w:tcW w:w="11424" w:type="dxa"/>
            <w:gridSpan w:val="2"/>
            <w:shd w:val="clear" w:color="auto" w:fill="002060"/>
            <w:vAlign w:val="center"/>
          </w:tcPr>
          <w:p w14:paraId="729D5A38" w14:textId="491EE44D" w:rsidR="007223E9" w:rsidRDefault="007223E9" w:rsidP="007223E9">
            <w:pPr>
              <w:pStyle w:val="TableParagraph"/>
              <w:spacing w:before="292" w:line="273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Activities/Action Steps</w:t>
            </w:r>
            <w:r w:rsidRPr="006C70C0">
              <w:rPr>
                <w:rFonts w:ascii="Calibri"/>
                <w:b/>
                <w:sz w:val="24"/>
                <w:u w:val="single"/>
              </w:rPr>
              <w:t>: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  <w:p w14:paraId="4013F414" w14:textId="1459943C" w:rsidR="007223E9" w:rsidRPr="00C166F7" w:rsidRDefault="001E250F" w:rsidP="001E250F">
            <w:pPr>
              <w:pStyle w:val="TableParagraph"/>
              <w:spacing w:before="292" w:line="273" w:lineRule="exact"/>
              <w:ind w:left="109"/>
              <w:rPr>
                <w:rFonts w:ascii="Calibri"/>
                <w:bCs/>
                <w:sz w:val="24"/>
              </w:rPr>
            </w:pPr>
            <w:r w:rsidRPr="001E250F">
              <w:rPr>
                <w:rFonts w:ascii="Calibri"/>
                <w:bCs/>
                <w:sz w:val="24"/>
              </w:rPr>
              <w:t>Work with DCFS to implement clear policies and practices to ensure that school stability is considered in placement decisions</w:t>
            </w:r>
            <w:r>
              <w:rPr>
                <w:rFonts w:ascii="Calibri"/>
                <w:bCs/>
                <w:sz w:val="24"/>
              </w:rPr>
              <w:t>.</w:t>
            </w:r>
          </w:p>
        </w:tc>
      </w:tr>
      <w:bookmarkEnd w:id="1"/>
      <w:tr w:rsidR="007223E9" w14:paraId="002084A2" w14:textId="77777777" w:rsidTr="00DC2F9C">
        <w:trPr>
          <w:trHeight w:val="882"/>
          <w:jc w:val="center"/>
        </w:trPr>
        <w:tc>
          <w:tcPr>
            <w:tcW w:w="1615" w:type="dxa"/>
            <w:shd w:val="clear" w:color="auto" w:fill="95B3D7" w:themeFill="accent1" w:themeFillTint="99"/>
            <w:vAlign w:val="center"/>
          </w:tcPr>
          <w:p w14:paraId="41C7188D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Deadline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E05B0BE" w14:textId="77777777" w:rsidR="007223E9" w:rsidRDefault="007223E9" w:rsidP="007223E9">
            <w:pPr>
              <w:pStyle w:val="TableParagraph"/>
              <w:spacing w:before="1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Lead(s)</w:t>
            </w:r>
          </w:p>
        </w:tc>
        <w:tc>
          <w:tcPr>
            <w:tcW w:w="10149" w:type="dxa"/>
            <w:shd w:val="clear" w:color="auto" w:fill="95B3D7" w:themeFill="accent1" w:themeFillTint="99"/>
            <w:vAlign w:val="center"/>
          </w:tcPr>
          <w:p w14:paraId="0B5A227F" w14:textId="77777777" w:rsidR="007223E9" w:rsidRDefault="007223E9" w:rsidP="007223E9">
            <w:pPr>
              <w:pStyle w:val="TableParagraph"/>
              <w:spacing w:line="290" w:lineRule="atLeast"/>
              <w:ind w:right="16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Task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1BEA21D4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Calibri"/>
                <w:b/>
                <w:spacing w:val="-2"/>
                <w:sz w:val="24"/>
              </w:rPr>
              <w:t>Status</w:t>
            </w:r>
          </w:p>
        </w:tc>
      </w:tr>
      <w:tr w:rsidR="007223E9" w14:paraId="4013F41B" w14:textId="77777777" w:rsidTr="00DC2F9C">
        <w:trPr>
          <w:trHeight w:val="98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16" w14:textId="6B58A518" w:rsidR="007223E9" w:rsidRDefault="007223E9" w:rsidP="007223E9">
            <w:pPr>
              <w:pStyle w:val="TableParagraph"/>
              <w:spacing w:line="250" w:lineRule="exact"/>
              <w:ind w:left="107"/>
              <w:jc w:val="center"/>
            </w:pPr>
            <w:r>
              <w:t>December 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17" w14:textId="600F1361" w:rsidR="007223E9" w:rsidRDefault="007223E9" w:rsidP="007223E9">
            <w:pPr>
              <w:pStyle w:val="TableParagraph"/>
              <w:spacing w:line="250" w:lineRule="exact"/>
              <w:jc w:val="center"/>
            </w:pPr>
            <w:r>
              <w:rPr>
                <w:spacing w:val="-5"/>
              </w:rPr>
              <w:t>DCFS and 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7BA6D866" w14:textId="2ECC2333" w:rsidR="007223E9" w:rsidRDefault="007223E9" w:rsidP="007223E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Strengthen Integration of School Stability in Home Placement Process – </w:t>
            </w:r>
            <w:r w:rsidRPr="008A188C">
              <w:rPr>
                <w:bCs/>
              </w:rPr>
              <w:t>DCFS, OCP, and the Courts partner together to identify</w:t>
            </w:r>
            <w:r>
              <w:rPr>
                <w:bCs/>
              </w:rPr>
              <w:t xml:space="preserve"> and implement</w:t>
            </w:r>
            <w:r w:rsidRPr="008A188C">
              <w:rPr>
                <w:bCs/>
              </w:rPr>
              <w:t xml:space="preserve"> best practices/strategies to integrate school stability into the home placement process.</w:t>
            </w:r>
          </w:p>
          <w:p w14:paraId="7A41F853" w14:textId="77777777" w:rsidR="007223E9" w:rsidRDefault="007223E9" w:rsidP="007223E9">
            <w:pPr>
              <w:pStyle w:val="TableParagraph"/>
              <w:spacing w:line="252" w:lineRule="exact"/>
            </w:pPr>
          </w:p>
          <w:p w14:paraId="4013F419" w14:textId="0D0BCC93" w:rsidR="007223E9" w:rsidRDefault="007223E9" w:rsidP="007223E9">
            <w:pPr>
              <w:pStyle w:val="TableParagraph"/>
              <w:spacing w:line="252" w:lineRule="exact"/>
            </w:pPr>
            <w:r>
              <w:t>Work on strengthening integration of school of origin as a consideration into DCFS’s new centralized placement process.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1A" w14:textId="77777777" w:rsidR="007223E9" w:rsidRPr="002A37D2" w:rsidRDefault="007223E9" w:rsidP="007223E9">
            <w:pPr>
              <w:pStyle w:val="TableParagraph"/>
              <w:ind w:left="0"/>
              <w:jc w:val="center"/>
            </w:pPr>
          </w:p>
        </w:tc>
      </w:tr>
      <w:tr w:rsidR="007223E9" w14:paraId="291E20A9" w14:textId="77777777" w:rsidTr="00DC2F9C">
        <w:trPr>
          <w:trHeight w:val="107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85DFD05" w14:textId="3904D322" w:rsidR="007223E9" w:rsidRDefault="007223E9" w:rsidP="007223E9">
            <w:pPr>
              <w:pStyle w:val="TableParagraph"/>
              <w:spacing w:line="250" w:lineRule="exact"/>
              <w:ind w:left="107"/>
              <w:jc w:val="center"/>
            </w:pPr>
            <w:r>
              <w:t>May</w:t>
            </w:r>
            <w:r w:rsidR="00442CD9">
              <w:t xml:space="preserve"> 2025</w:t>
            </w:r>
            <w:r w:rsidR="00B11617">
              <w:t>*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8C08593" w14:textId="430D7F2E" w:rsidR="007223E9" w:rsidRDefault="007223E9" w:rsidP="007223E9">
            <w:pPr>
              <w:pStyle w:val="TableParagraph"/>
              <w:spacing w:line="250" w:lineRule="exact"/>
              <w:rPr>
                <w:spacing w:val="-5"/>
              </w:rPr>
            </w:pPr>
            <w:r>
              <w:rPr>
                <w:spacing w:val="-5"/>
              </w:rPr>
              <w:t>DCFS, LACOE, and School District(s)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0CD153AA" w14:textId="46DFA08E" w:rsidR="007223E9" w:rsidRPr="001B0DBF" w:rsidRDefault="007223E9" w:rsidP="007223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Finalize SOO Data Indicators – </w:t>
            </w:r>
            <w:r w:rsidRPr="00251BD4">
              <w:rPr>
                <w:bCs/>
              </w:rPr>
              <w:t>Finalize a list of data indicators to demonstrate the impact of SOO on youth in care</w:t>
            </w:r>
            <w:r>
              <w:rPr>
                <w:bCs/>
              </w:rPr>
              <w:t xml:space="preserve"> to support sustainable funding for SOO.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34C97" w14:textId="77777777" w:rsidR="007223E9" w:rsidRPr="002A37D2" w:rsidRDefault="007223E9" w:rsidP="007223E9">
            <w:pPr>
              <w:pStyle w:val="TableParagraph"/>
              <w:ind w:left="0"/>
              <w:jc w:val="center"/>
            </w:pPr>
          </w:p>
        </w:tc>
      </w:tr>
      <w:tr w:rsidR="007223E9" w14:paraId="6423F3F3" w14:textId="77777777" w:rsidTr="00DC2F9C">
        <w:trPr>
          <w:trHeight w:val="107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2B49F4" w14:textId="68DBC476" w:rsidR="007223E9" w:rsidRDefault="00AE6D92" w:rsidP="007223E9">
            <w:pPr>
              <w:pStyle w:val="TableParagraph"/>
              <w:spacing w:line="250" w:lineRule="exact"/>
              <w:ind w:left="107"/>
              <w:jc w:val="center"/>
            </w:pPr>
            <w:r>
              <w:t xml:space="preserve">December </w:t>
            </w:r>
            <w:r w:rsidR="00442CD9"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6C0D302" w14:textId="3F24F8EB" w:rsidR="007223E9" w:rsidRDefault="007223E9" w:rsidP="007223E9">
            <w:pPr>
              <w:pStyle w:val="TableParagraph"/>
              <w:spacing w:line="250" w:lineRule="exact"/>
              <w:rPr>
                <w:spacing w:val="-5"/>
              </w:rPr>
            </w:pPr>
            <w:r>
              <w:rPr>
                <w:spacing w:val="-5"/>
              </w:rPr>
              <w:t>DCFS, LACOE, and School District(s)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1E6BC480" w14:textId="0CE82049" w:rsidR="007223E9" w:rsidRDefault="007223E9" w:rsidP="007223E9">
            <w:pPr>
              <w:pStyle w:val="TableParagraph"/>
              <w:spacing w:line="248" w:lineRule="exact"/>
              <w:rPr>
                <w:b/>
              </w:rPr>
            </w:pPr>
            <w:r w:rsidRPr="001B0DBF">
              <w:rPr>
                <w:b/>
              </w:rPr>
              <w:t>SOO Data to Support Sustainable Funding</w:t>
            </w:r>
            <w:r>
              <w:rPr>
                <w:b/>
              </w:rPr>
              <w:t xml:space="preserve"> – </w:t>
            </w:r>
            <w:r w:rsidRPr="001B0DBF">
              <w:rPr>
                <w:bCs/>
              </w:rPr>
              <w:t>DCFS</w:t>
            </w:r>
            <w:r>
              <w:rPr>
                <w:bCs/>
              </w:rPr>
              <w:t>, LACOE,</w:t>
            </w:r>
            <w:r w:rsidRPr="001B0DBF">
              <w:rPr>
                <w:bCs/>
              </w:rPr>
              <w:t xml:space="preserve"> and School District(s) work to compile and analyze SOO data for the 2024-2025 school year to demonstrate the impact of SOO for youth in care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E34FF" w14:textId="77777777" w:rsidR="007223E9" w:rsidRPr="002A37D2" w:rsidRDefault="007223E9" w:rsidP="007223E9">
            <w:pPr>
              <w:pStyle w:val="TableParagraph"/>
              <w:ind w:left="0"/>
              <w:jc w:val="center"/>
            </w:pPr>
          </w:p>
        </w:tc>
      </w:tr>
      <w:tr w:rsidR="007223E9" w14:paraId="699C99D6" w14:textId="77777777" w:rsidTr="00924F58">
        <w:trPr>
          <w:trHeight w:val="3051"/>
          <w:jc w:val="center"/>
        </w:trPr>
        <w:tc>
          <w:tcPr>
            <w:tcW w:w="2986" w:type="dxa"/>
            <w:gridSpan w:val="2"/>
            <w:shd w:val="clear" w:color="auto" w:fill="002060"/>
            <w:vAlign w:val="center"/>
          </w:tcPr>
          <w:p w14:paraId="2DB0149B" w14:textId="77777777" w:rsidR="007223E9" w:rsidRDefault="007223E9" w:rsidP="009E58BA">
            <w:pPr>
              <w:pStyle w:val="TableParagraph"/>
              <w:pageBreakBefore/>
              <w:spacing w:line="250" w:lineRule="exact"/>
              <w:ind w:left="115"/>
              <w:rPr>
                <w:rFonts w:ascii="Calibri"/>
                <w:b/>
                <w:sz w:val="24"/>
              </w:rPr>
            </w:pPr>
            <w:r w:rsidRPr="006C70C0">
              <w:rPr>
                <w:rFonts w:ascii="Calibri"/>
                <w:b/>
                <w:sz w:val="24"/>
                <w:u w:val="single"/>
              </w:rPr>
              <w:lastRenderedPageBreak/>
              <w:t>Priority Area: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  <w:p w14:paraId="1B352679" w14:textId="77777777" w:rsidR="007223E9" w:rsidRDefault="007223E9" w:rsidP="007223E9">
            <w:pPr>
              <w:pStyle w:val="TableParagraph"/>
              <w:spacing w:line="250" w:lineRule="exact"/>
              <w:rPr>
                <w:rFonts w:ascii="Calibri"/>
                <w:b/>
                <w:sz w:val="24"/>
              </w:rPr>
            </w:pPr>
          </w:p>
          <w:p w14:paraId="3D760886" w14:textId="571351C7" w:rsidR="007223E9" w:rsidRDefault="007223E9" w:rsidP="007223E9">
            <w:pPr>
              <w:pStyle w:val="TableParagraph"/>
              <w:spacing w:line="250" w:lineRule="exact"/>
            </w:pPr>
            <w:r>
              <w:rPr>
                <w:rFonts w:ascii="Calibri"/>
                <w:bCs/>
                <w:sz w:val="24"/>
              </w:rPr>
              <w:t>Chronic Absenteeism</w:t>
            </w:r>
          </w:p>
        </w:tc>
        <w:tc>
          <w:tcPr>
            <w:tcW w:w="11424" w:type="dxa"/>
            <w:gridSpan w:val="2"/>
            <w:shd w:val="clear" w:color="auto" w:fill="002060"/>
            <w:vAlign w:val="center"/>
          </w:tcPr>
          <w:p w14:paraId="7431CCC6" w14:textId="75F103DE" w:rsidR="007223E9" w:rsidRDefault="007223E9" w:rsidP="007223E9">
            <w:pPr>
              <w:pStyle w:val="TableParagraph"/>
              <w:spacing w:before="292" w:line="273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Activities/Action Steps</w:t>
            </w:r>
            <w:r w:rsidRPr="006C70C0">
              <w:rPr>
                <w:rFonts w:ascii="Calibri"/>
                <w:b/>
                <w:sz w:val="24"/>
                <w:u w:val="single"/>
              </w:rPr>
              <w:t>: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  <w:p w14:paraId="354477DD" w14:textId="77777777" w:rsidR="007223E9" w:rsidRDefault="007223E9" w:rsidP="007223E9">
            <w:pPr>
              <w:pStyle w:val="TableParagraph"/>
              <w:spacing w:before="292" w:line="273" w:lineRule="exact"/>
              <w:ind w:left="109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Cs/>
                <w:sz w:val="24"/>
              </w:rPr>
              <w:t xml:space="preserve">School districts, LACOE, DCFS, the Department of Youth Development (DYD), DMH, Probation, CLC and the Association of Community Human Service Agencies (ACHSA) work together to create youth-specific plans/strategies on how agencies will team to re-engage youth who are not attending school regularly. </w:t>
            </w:r>
          </w:p>
          <w:p w14:paraId="5375BC8A" w14:textId="2CCA5A45" w:rsidR="007223E9" w:rsidRPr="003B232C" w:rsidRDefault="007223E9" w:rsidP="007223E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Calibri"/>
                <w:bCs/>
                <w:sz w:val="24"/>
              </w:rPr>
              <w:t xml:space="preserve">Integrate feedback from youth on motivations or deterrents to attending school into the plans/strategies on an ongoing basis. </w:t>
            </w:r>
          </w:p>
          <w:p w14:paraId="25310231" w14:textId="69F5D56B" w:rsidR="007223E9" w:rsidRPr="0051013C" w:rsidRDefault="007223E9" w:rsidP="007223E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Calibri"/>
                <w:bCs/>
                <w:sz w:val="24"/>
              </w:rPr>
              <w:t>Plans/strategies should include trauma-informed and culturally responsive supports.</w:t>
            </w:r>
          </w:p>
          <w:p w14:paraId="02CF6684" w14:textId="0FED91BE" w:rsidR="007223E9" w:rsidRPr="00C166F7" w:rsidRDefault="007223E9" w:rsidP="007223E9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Calibri"/>
                <w:bCs/>
                <w:sz w:val="24"/>
              </w:rPr>
              <w:t xml:space="preserve">Supports for caregivers should be made available to implement youth-centered engagement practices. </w:t>
            </w:r>
          </w:p>
        </w:tc>
      </w:tr>
      <w:tr w:rsidR="007223E9" w14:paraId="081E4784" w14:textId="77777777" w:rsidTr="00924F58">
        <w:trPr>
          <w:trHeight w:val="801"/>
          <w:jc w:val="center"/>
        </w:trPr>
        <w:tc>
          <w:tcPr>
            <w:tcW w:w="1615" w:type="dxa"/>
            <w:shd w:val="clear" w:color="auto" w:fill="95B3D7" w:themeFill="accent1" w:themeFillTint="99"/>
            <w:vAlign w:val="center"/>
          </w:tcPr>
          <w:p w14:paraId="58FC8F21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Deadline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6C0BD72D" w14:textId="77777777" w:rsidR="007223E9" w:rsidRDefault="007223E9" w:rsidP="007223E9">
            <w:pPr>
              <w:pStyle w:val="TableParagraph"/>
              <w:spacing w:before="1"/>
              <w:ind w:left="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Lead(s)</w:t>
            </w:r>
          </w:p>
        </w:tc>
        <w:tc>
          <w:tcPr>
            <w:tcW w:w="10149" w:type="dxa"/>
            <w:shd w:val="clear" w:color="auto" w:fill="95B3D7" w:themeFill="accent1" w:themeFillTint="99"/>
            <w:vAlign w:val="center"/>
          </w:tcPr>
          <w:p w14:paraId="1D4AD2A9" w14:textId="77777777" w:rsidR="007223E9" w:rsidRDefault="007223E9" w:rsidP="007223E9">
            <w:pPr>
              <w:pStyle w:val="TableParagraph"/>
              <w:spacing w:line="290" w:lineRule="atLeast"/>
              <w:ind w:right="16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Task</w:t>
            </w:r>
          </w:p>
        </w:tc>
        <w:tc>
          <w:tcPr>
            <w:tcW w:w="1275" w:type="dxa"/>
            <w:shd w:val="clear" w:color="auto" w:fill="95B3D7" w:themeFill="accent1" w:themeFillTint="99"/>
            <w:vAlign w:val="center"/>
          </w:tcPr>
          <w:p w14:paraId="5A8053DE" w14:textId="77777777" w:rsidR="007223E9" w:rsidRDefault="007223E9" w:rsidP="007223E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Calibri"/>
                <w:b/>
                <w:spacing w:val="-2"/>
                <w:sz w:val="24"/>
              </w:rPr>
              <w:t>Status</w:t>
            </w:r>
          </w:p>
        </w:tc>
      </w:tr>
      <w:tr w:rsidR="007223E9" w14:paraId="4013F435" w14:textId="77777777" w:rsidTr="00DC2F9C">
        <w:trPr>
          <w:trHeight w:val="755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30" w14:textId="2998459F" w:rsidR="007223E9" w:rsidRDefault="007223E9" w:rsidP="007223E9">
            <w:pPr>
              <w:pStyle w:val="TableParagraph"/>
              <w:spacing w:line="252" w:lineRule="exact"/>
              <w:ind w:left="107"/>
              <w:jc w:val="center"/>
            </w:pPr>
            <w:r>
              <w:t>November 2024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31" w14:textId="747E7CFC" w:rsidR="007223E9" w:rsidRDefault="007223E9" w:rsidP="007223E9">
            <w:pPr>
              <w:pStyle w:val="TableParagraph"/>
              <w:spacing w:line="248" w:lineRule="exact"/>
              <w:jc w:val="center"/>
            </w:pPr>
            <w:r>
              <w:rPr>
                <w:spacing w:val="-2"/>
              </w:rP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33" w14:textId="35EE23DA" w:rsidR="007223E9" w:rsidRDefault="007223E9" w:rsidP="007223E9">
            <w:pPr>
              <w:pStyle w:val="TableParagraph"/>
              <w:spacing w:line="245" w:lineRule="exact"/>
            </w:pPr>
            <w:r>
              <w:rPr>
                <w:b/>
              </w:rPr>
              <w:t xml:space="preserve">Feedback from Young People – </w:t>
            </w:r>
            <w:r>
              <w:t>Compile feedback received from young people during the ECC Strategic Plan Listening Sessions on the motivators/deterrents to attending school.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34" w14:textId="7FCF449A" w:rsidR="007223E9" w:rsidRPr="003F3DA4" w:rsidRDefault="007223E9" w:rsidP="007223E9">
            <w:pPr>
              <w:pStyle w:val="TableParagraph"/>
              <w:ind w:left="0"/>
              <w:jc w:val="center"/>
            </w:pPr>
            <w:r w:rsidRPr="003F3DA4">
              <w:t>Complete</w:t>
            </w:r>
          </w:p>
        </w:tc>
      </w:tr>
      <w:tr w:rsidR="007223E9" w14:paraId="4013F43B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37" w14:textId="4B69D3C6" w:rsidR="007223E9" w:rsidRDefault="007223E9" w:rsidP="009E58BA">
            <w:pPr>
              <w:pStyle w:val="TableParagraph"/>
              <w:ind w:left="107"/>
              <w:jc w:val="center"/>
            </w:pPr>
            <w:r>
              <w:t>December 2024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38" w14:textId="5F22FF3C" w:rsidR="007223E9" w:rsidRDefault="007223E9" w:rsidP="007223E9">
            <w:pPr>
              <w:pStyle w:val="TableParagraph"/>
              <w:spacing w:line="250" w:lineRule="exact"/>
              <w:jc w:val="center"/>
            </w:pPr>
            <w:r>
              <w:rPr>
                <w:spacing w:val="-2"/>
              </w:rP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39" w14:textId="3ABC9D62" w:rsidR="007223E9" w:rsidRDefault="007223E9" w:rsidP="007223E9">
            <w:pPr>
              <w:pStyle w:val="TableParagraph"/>
              <w:spacing w:line="242" w:lineRule="auto"/>
            </w:pPr>
            <w:r w:rsidRPr="003F3DA4">
              <w:rPr>
                <w:b/>
                <w:bCs/>
              </w:rPr>
              <w:t>Feedback from Caregivers</w:t>
            </w:r>
            <w:r>
              <w:t xml:space="preserve"> </w:t>
            </w:r>
            <w:r w:rsidRPr="003F3DA4">
              <w:rPr>
                <w:b/>
                <w:bCs/>
              </w:rPr>
              <w:t>–</w:t>
            </w:r>
            <w:r>
              <w:t xml:space="preserve"> Compile feedback received from caregivers during the ECC Strategic Plan Listening Session on what were best practices/challenges to transporting youth to their SOO.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3A" w14:textId="2D849D07" w:rsidR="007223E9" w:rsidRPr="003F3DA4" w:rsidRDefault="007223E9" w:rsidP="007223E9">
            <w:pPr>
              <w:pStyle w:val="TableParagraph"/>
              <w:ind w:left="0"/>
              <w:jc w:val="center"/>
            </w:pPr>
            <w:r>
              <w:t>Complete</w:t>
            </w:r>
          </w:p>
        </w:tc>
      </w:tr>
      <w:tr w:rsidR="002366DC" w14:paraId="79569C0E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02E9784" w14:textId="77A8B40D" w:rsidR="002366DC" w:rsidRDefault="002366DC" w:rsidP="002366DC">
            <w:pPr>
              <w:pStyle w:val="TableParagraph"/>
              <w:ind w:left="107"/>
              <w:jc w:val="center"/>
            </w:pPr>
            <w:r>
              <w:t>Ma</w:t>
            </w:r>
            <w:r w:rsidR="00003095">
              <w:t xml:space="preserve">rch–April </w:t>
            </w:r>
            <w:r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67756CE" w14:textId="5141F6FF" w:rsidR="002366DC" w:rsidRDefault="008B1631" w:rsidP="002366DC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t>Will be Assessed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7B49EAFC" w14:textId="0BE242A2" w:rsidR="002366DC" w:rsidRPr="003F3DA4" w:rsidRDefault="00E97DCA" w:rsidP="002366DC">
            <w:pPr>
              <w:pStyle w:val="TableParagraph"/>
              <w:spacing w:line="242" w:lineRule="auto"/>
              <w:rPr>
                <w:b/>
                <w:bCs/>
              </w:rPr>
            </w:pPr>
            <w:r>
              <w:rPr>
                <w:b/>
                <w:bCs/>
              </w:rPr>
              <w:t>Develop</w:t>
            </w:r>
            <w:r w:rsidR="00AD1F4E">
              <w:rPr>
                <w:b/>
                <w:bCs/>
              </w:rPr>
              <w:t xml:space="preserve"> </w:t>
            </w:r>
            <w:r w:rsidR="002366DC">
              <w:rPr>
                <w:b/>
                <w:bCs/>
              </w:rPr>
              <w:t xml:space="preserve">Youth-Specific Strategies – </w:t>
            </w:r>
            <w:r w:rsidR="002366DC">
              <w:t>Based</w:t>
            </w:r>
            <w:r w:rsidR="002366DC" w:rsidRPr="005354F3">
              <w:t xml:space="preserve"> </w:t>
            </w:r>
            <w:r w:rsidR="002366DC">
              <w:t xml:space="preserve">on feedback gained from </w:t>
            </w:r>
            <w:r w:rsidR="00E9085B">
              <w:t xml:space="preserve">the young people </w:t>
            </w:r>
            <w:r w:rsidR="002366DC">
              <w:t>listening sessions, develop youth-centered and trauma-informed strategies for the ECC Stability/CA Workgroup to implement to engage youth to attend school regularly</w:t>
            </w:r>
            <w:r w:rsidR="00AD1F4E">
              <w:t xml:space="preserve">. </w:t>
            </w:r>
            <w:r w:rsidR="00341CE8">
              <w:t>Districts present complex c</w:t>
            </w:r>
            <w:r w:rsidR="00C021FD">
              <w:t>hronic absenteeism cases for the workgroup to discuss/analyze to help facilitate the development of youth-specific strategies.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8BF0F" w14:textId="535CEBBA" w:rsidR="002366DC" w:rsidRDefault="00847C29" w:rsidP="002366DC">
            <w:pPr>
              <w:pStyle w:val="TableParagraph"/>
              <w:ind w:left="0"/>
              <w:jc w:val="center"/>
            </w:pPr>
            <w:r>
              <w:t>In</w:t>
            </w:r>
            <w:r w:rsidR="00A732ED">
              <w:t xml:space="preserve"> </w:t>
            </w:r>
            <w:r>
              <w:t>Progress</w:t>
            </w:r>
          </w:p>
        </w:tc>
      </w:tr>
      <w:tr w:rsidR="002366DC" w14:paraId="3B8C97A2" w14:textId="77777777" w:rsidTr="00DC2F9C">
        <w:trPr>
          <w:trHeight w:val="75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ED86E3B" w14:textId="72F21EB4" w:rsidR="002366DC" w:rsidRDefault="00003095" w:rsidP="002366DC">
            <w:pPr>
              <w:pStyle w:val="TableParagraph"/>
              <w:ind w:left="107"/>
              <w:jc w:val="center"/>
            </w:pPr>
            <w:r>
              <w:t xml:space="preserve">March–April </w:t>
            </w:r>
            <w:r w:rsidR="002366DC"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009C2A0" w14:textId="76FE9156" w:rsidR="002366DC" w:rsidRDefault="001B4240" w:rsidP="002366DC">
            <w:pPr>
              <w:pStyle w:val="TableParagraph"/>
              <w:spacing w:line="25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DCFS &amp; AVUHSD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117C2AE7" w14:textId="0222EB91" w:rsidR="002366DC" w:rsidRPr="003F3DA4" w:rsidRDefault="009F5726" w:rsidP="002366DC">
            <w:pPr>
              <w:pStyle w:val="TableParagraph"/>
              <w:spacing w:line="242" w:lineRule="auto"/>
              <w:rPr>
                <w:b/>
                <w:bCs/>
              </w:rPr>
            </w:pPr>
            <w:r>
              <w:rPr>
                <w:b/>
                <w:bCs/>
              </w:rPr>
              <w:t>Identify</w:t>
            </w:r>
            <w:r w:rsidR="00DE3172">
              <w:rPr>
                <w:b/>
                <w:bCs/>
              </w:rPr>
              <w:t xml:space="preserve"> </w:t>
            </w:r>
            <w:r w:rsidR="002366DC">
              <w:rPr>
                <w:b/>
                <w:bCs/>
              </w:rPr>
              <w:t xml:space="preserve">Supports for Caregivers – </w:t>
            </w:r>
            <w:r w:rsidR="002366DC" w:rsidRPr="00451CD7">
              <w:t xml:space="preserve">Based on feedback gained from </w:t>
            </w:r>
            <w:r w:rsidR="00744CB1">
              <w:t xml:space="preserve">the caregiver </w:t>
            </w:r>
            <w:r w:rsidR="002366DC" w:rsidRPr="00451CD7">
              <w:t>listening sessions, identify supports for caregivers that</w:t>
            </w:r>
            <w:r w:rsidR="002366DC">
              <w:rPr>
                <w:b/>
                <w:bCs/>
              </w:rPr>
              <w:t xml:space="preserve"> </w:t>
            </w:r>
            <w:r w:rsidR="002366DC" w:rsidRPr="002D2310">
              <w:t xml:space="preserve">1) are currently helpful and 2) that should be made available to </w:t>
            </w:r>
            <w:r w:rsidR="002366DC">
              <w:t>support the implementation of</w:t>
            </w:r>
            <w:r w:rsidR="002366DC" w:rsidRPr="002D2310">
              <w:t xml:space="preserve"> youth-centered</w:t>
            </w:r>
            <w:r w:rsidR="002366DC">
              <w:t xml:space="preserve"> engagement practices.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68AED" w14:textId="77777777" w:rsidR="002366DC" w:rsidRDefault="002366DC" w:rsidP="002366DC">
            <w:pPr>
              <w:pStyle w:val="TableParagraph"/>
              <w:ind w:left="0"/>
              <w:jc w:val="center"/>
            </w:pPr>
          </w:p>
        </w:tc>
      </w:tr>
      <w:tr w:rsidR="002366DC" w14:paraId="4013F441" w14:textId="77777777" w:rsidTr="00DC2F9C">
        <w:trPr>
          <w:trHeight w:val="760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013F43D" w14:textId="5B706092" w:rsidR="002366DC" w:rsidRDefault="00003095" w:rsidP="009E58BA">
            <w:pPr>
              <w:pStyle w:val="TableParagraph"/>
              <w:spacing w:line="250" w:lineRule="exact"/>
              <w:ind w:left="107"/>
              <w:jc w:val="center"/>
            </w:pPr>
            <w:r>
              <w:t xml:space="preserve">June </w:t>
            </w:r>
            <w:r w:rsidR="002366DC">
              <w:t>2025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13F43E" w14:textId="17CF427F" w:rsidR="002366DC" w:rsidRDefault="00E26C3D" w:rsidP="002366DC">
            <w:pPr>
              <w:pStyle w:val="TableParagraph"/>
              <w:spacing w:line="250" w:lineRule="exact"/>
              <w:jc w:val="center"/>
            </w:pPr>
            <w:r>
              <w:t>OCP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4013F43F" w14:textId="10B3BB52" w:rsidR="002366DC" w:rsidRDefault="002366DC" w:rsidP="002366DC">
            <w:pPr>
              <w:pStyle w:val="TableParagraph"/>
              <w:spacing w:line="244" w:lineRule="auto"/>
              <w:ind w:right="206"/>
            </w:pPr>
            <w:r w:rsidRPr="001D32CD">
              <w:rPr>
                <w:b/>
                <w:bCs/>
              </w:rPr>
              <w:t>Listening Session with Young People and Caregivers –</w:t>
            </w:r>
            <w:r>
              <w:t xml:space="preserve"> Conduct listening sessions with young people and their caregiver(s) to gain feedback on the strategies developed by the workgroup to support youth to attend school regularly</w:t>
            </w:r>
            <w:r w:rsidR="009F5726">
              <w:t xml:space="preserve"> and </w:t>
            </w:r>
            <w:r>
              <w:t>support caregivers with transportation.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3F440" w14:textId="77777777" w:rsidR="002366DC" w:rsidRPr="003F3DA4" w:rsidRDefault="002366DC" w:rsidP="002366DC">
            <w:pPr>
              <w:pStyle w:val="TableParagraph"/>
              <w:ind w:left="0"/>
              <w:jc w:val="center"/>
            </w:pPr>
          </w:p>
        </w:tc>
      </w:tr>
      <w:tr w:rsidR="002B5ED4" w14:paraId="462131B0" w14:textId="77777777" w:rsidTr="00DC2F9C">
        <w:trPr>
          <w:trHeight w:val="760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1A88274" w14:textId="21500623" w:rsidR="002B5ED4" w:rsidRDefault="00BE5F8F" w:rsidP="002366DC">
            <w:pPr>
              <w:pStyle w:val="TableParagraph"/>
              <w:spacing w:line="250" w:lineRule="exact"/>
              <w:ind w:left="107"/>
              <w:jc w:val="center"/>
            </w:pPr>
            <w:r>
              <w:t xml:space="preserve">December </w:t>
            </w:r>
            <w:r w:rsidR="00107888">
              <w:t>2025</w:t>
            </w:r>
            <w:r w:rsidR="00A732ED">
              <w:t>–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8A17023" w14:textId="34ABD432" w:rsidR="002B5ED4" w:rsidRDefault="00E26C3D" w:rsidP="002366DC">
            <w:pPr>
              <w:pStyle w:val="TableParagraph"/>
              <w:spacing w:line="250" w:lineRule="exact"/>
              <w:jc w:val="center"/>
            </w:pPr>
            <w:r>
              <w:t>Will be Determined Based on Strategies</w:t>
            </w:r>
          </w:p>
        </w:tc>
        <w:tc>
          <w:tcPr>
            <w:tcW w:w="10149" w:type="dxa"/>
            <w:shd w:val="clear" w:color="auto" w:fill="auto"/>
            <w:vAlign w:val="center"/>
          </w:tcPr>
          <w:p w14:paraId="5457B9F1" w14:textId="7F191084" w:rsidR="002B5ED4" w:rsidRPr="001D32CD" w:rsidRDefault="004124CA" w:rsidP="002366DC">
            <w:pPr>
              <w:pStyle w:val="TableParagraph"/>
              <w:spacing w:line="244" w:lineRule="auto"/>
              <w:ind w:right="206"/>
              <w:rPr>
                <w:b/>
                <w:bCs/>
              </w:rPr>
            </w:pPr>
            <w:r>
              <w:rPr>
                <w:b/>
                <w:bCs/>
              </w:rPr>
              <w:t xml:space="preserve">Finalize </w:t>
            </w:r>
            <w:r w:rsidR="00731E95">
              <w:rPr>
                <w:b/>
                <w:bCs/>
              </w:rPr>
              <w:t>and I</w:t>
            </w:r>
            <w:r w:rsidR="00BC4220">
              <w:rPr>
                <w:b/>
                <w:bCs/>
              </w:rPr>
              <w:t xml:space="preserve">mplement Identified </w:t>
            </w:r>
            <w:r>
              <w:rPr>
                <w:b/>
                <w:bCs/>
              </w:rPr>
              <w:t xml:space="preserve">Strategies </w:t>
            </w:r>
            <w:r w:rsidR="00686BCD">
              <w:rPr>
                <w:b/>
                <w:bCs/>
              </w:rPr>
              <w:t>–</w:t>
            </w:r>
            <w:r w:rsidR="000C0780">
              <w:rPr>
                <w:b/>
                <w:bCs/>
              </w:rPr>
              <w:t xml:space="preserve"> </w:t>
            </w:r>
            <w:r w:rsidR="00B40705">
              <w:t>Refine and finalize strategies based on feedback gained from young people and caregiver</w:t>
            </w:r>
            <w:r w:rsidR="00411444">
              <w:t xml:space="preserve"> listening session. Work to </w:t>
            </w:r>
            <w:r w:rsidR="00FF791D">
              <w:t>implement strategies and continue to monitor impact and effectiveness.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53A7A" w14:textId="77777777" w:rsidR="002B5ED4" w:rsidRPr="003F3DA4" w:rsidRDefault="002B5ED4" w:rsidP="002366DC">
            <w:pPr>
              <w:pStyle w:val="TableParagraph"/>
              <w:ind w:left="0"/>
              <w:jc w:val="center"/>
            </w:pPr>
          </w:p>
        </w:tc>
      </w:tr>
    </w:tbl>
    <w:p w14:paraId="7554CEDC" w14:textId="1F231124" w:rsidR="00FF5E4E" w:rsidRPr="00FF5E4E" w:rsidRDefault="00FF5E4E" w:rsidP="00924F58">
      <w:pPr>
        <w:tabs>
          <w:tab w:val="left" w:pos="1190"/>
        </w:tabs>
      </w:pPr>
    </w:p>
    <w:sectPr w:rsidR="00FF5E4E" w:rsidRPr="00FF5E4E" w:rsidSect="001A6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 w:code="1"/>
      <w:pgMar w:top="979" w:right="518" w:bottom="274" w:left="706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DC3D" w14:textId="77777777" w:rsidR="00E91BF1" w:rsidRDefault="00E91BF1" w:rsidP="000671EC">
      <w:r>
        <w:separator/>
      </w:r>
    </w:p>
  </w:endnote>
  <w:endnote w:type="continuationSeparator" w:id="0">
    <w:p w14:paraId="37E10996" w14:textId="77777777" w:rsidR="00E91BF1" w:rsidRDefault="00E91BF1" w:rsidP="000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3BF7" w14:textId="77777777" w:rsidR="00F6216C" w:rsidRDefault="00F62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71BE" w14:textId="5BB889B5" w:rsidR="000671EC" w:rsidRDefault="002F7BAD">
    <w:pPr>
      <w:pStyle w:val="Footer"/>
    </w:pPr>
    <w:r>
      <w:t>Updated</w:t>
    </w:r>
    <w:r w:rsidR="000671EC">
      <w:t xml:space="preserve"> </w:t>
    </w:r>
    <w:r>
      <w:t>3</w:t>
    </w:r>
    <w:r w:rsidR="00DC783F">
      <w:t>/</w:t>
    </w:r>
    <w:r>
      <w:t>20</w:t>
    </w:r>
    <w:r w:rsidR="0027048E">
      <w:t>/</w:t>
    </w:r>
    <w:r w:rsidR="000671EC">
      <w:t>2</w:t>
    </w:r>
    <w:r w:rsidR="005B30B9">
      <w:t>5</w:t>
    </w:r>
  </w:p>
  <w:p w14:paraId="72147279" w14:textId="77777777" w:rsidR="0044749F" w:rsidRDefault="0044749F">
    <w:pPr>
      <w:pStyle w:val="Footer"/>
    </w:pPr>
  </w:p>
  <w:p w14:paraId="66B48A52" w14:textId="3A1C2608" w:rsidR="000671EC" w:rsidRDefault="0044749F" w:rsidP="009E58BA">
    <w:pPr>
      <w:pStyle w:val="Footer"/>
      <w:tabs>
        <w:tab w:val="clear" w:pos="4680"/>
        <w:tab w:val="clear" w:pos="9360"/>
        <w:tab w:val="right" w:pos="14400"/>
      </w:tabs>
    </w:pPr>
    <w:r>
      <w:t>*</w:t>
    </w:r>
    <w:r w:rsidR="000E7C2B">
      <w:t xml:space="preserve">Temporary deadline that will be reevaluated and updated </w:t>
    </w:r>
    <w:r w:rsidR="00BB72B0">
      <w:t>during the duration of the year.</w:t>
    </w:r>
    <w:r w:rsidR="009E58BA">
      <w:tab/>
    </w:r>
    <w:r w:rsidR="009E58BA">
      <w:fldChar w:fldCharType="begin"/>
    </w:r>
    <w:r w:rsidR="009E58BA">
      <w:instrText xml:space="preserve"> PAGE   \* MERGEFORMAT </w:instrText>
    </w:r>
    <w:r w:rsidR="009E58BA">
      <w:fldChar w:fldCharType="separate"/>
    </w:r>
    <w:r w:rsidR="009E58BA">
      <w:rPr>
        <w:noProof/>
      </w:rPr>
      <w:t>1</w:t>
    </w:r>
    <w:r w:rsidR="009E58B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BA4F" w14:textId="77777777" w:rsidR="00F6216C" w:rsidRDefault="00F62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DAB2" w14:textId="77777777" w:rsidR="00E91BF1" w:rsidRDefault="00E91BF1" w:rsidP="000671EC">
      <w:r>
        <w:separator/>
      </w:r>
    </w:p>
  </w:footnote>
  <w:footnote w:type="continuationSeparator" w:id="0">
    <w:p w14:paraId="4132FF92" w14:textId="77777777" w:rsidR="00E91BF1" w:rsidRDefault="00E91BF1" w:rsidP="0006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2847" w14:textId="77777777" w:rsidR="00F6216C" w:rsidRDefault="00F62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0575" w14:textId="6957C545" w:rsidR="00F6216C" w:rsidRPr="00F6216C" w:rsidRDefault="00F6216C" w:rsidP="00F6216C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ATTACHMENT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B030" w14:textId="77777777" w:rsidR="00F6216C" w:rsidRDefault="00F62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885"/>
    <w:multiLevelType w:val="hybridMultilevel"/>
    <w:tmpl w:val="63F8A752"/>
    <w:lvl w:ilvl="0" w:tplc="D2BC35A4">
      <w:start w:val="1"/>
      <w:numFmt w:val="lowerLetter"/>
      <w:lvlText w:val="%1."/>
      <w:lvlJc w:val="left"/>
      <w:pPr>
        <w:ind w:left="829" w:hanging="360"/>
      </w:pPr>
      <w:rPr>
        <w:rFonts w:asci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 w16cid:durableId="88155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58"/>
    <w:rsid w:val="00003095"/>
    <w:rsid w:val="000238A9"/>
    <w:rsid w:val="00032E0D"/>
    <w:rsid w:val="00036262"/>
    <w:rsid w:val="0003701C"/>
    <w:rsid w:val="0003737F"/>
    <w:rsid w:val="00040FF1"/>
    <w:rsid w:val="00044FEC"/>
    <w:rsid w:val="00053350"/>
    <w:rsid w:val="000671EC"/>
    <w:rsid w:val="00087C6E"/>
    <w:rsid w:val="00092015"/>
    <w:rsid w:val="00096565"/>
    <w:rsid w:val="000C0780"/>
    <w:rsid w:val="000C46D4"/>
    <w:rsid w:val="000E3749"/>
    <w:rsid w:val="000E4C03"/>
    <w:rsid w:val="000E7C2B"/>
    <w:rsid w:val="000F4F4E"/>
    <w:rsid w:val="00106F3A"/>
    <w:rsid w:val="00107888"/>
    <w:rsid w:val="001124F7"/>
    <w:rsid w:val="0011488B"/>
    <w:rsid w:val="00117970"/>
    <w:rsid w:val="001269CC"/>
    <w:rsid w:val="001331B4"/>
    <w:rsid w:val="00160842"/>
    <w:rsid w:val="001613CB"/>
    <w:rsid w:val="001614FE"/>
    <w:rsid w:val="00175475"/>
    <w:rsid w:val="00175A18"/>
    <w:rsid w:val="001A16D5"/>
    <w:rsid w:val="001A5AAA"/>
    <w:rsid w:val="001A6297"/>
    <w:rsid w:val="001B0DBF"/>
    <w:rsid w:val="001B4240"/>
    <w:rsid w:val="001B6CCD"/>
    <w:rsid w:val="001C70CB"/>
    <w:rsid w:val="001D1DFF"/>
    <w:rsid w:val="001D32CD"/>
    <w:rsid w:val="001E0F08"/>
    <w:rsid w:val="001E250F"/>
    <w:rsid w:val="001F3854"/>
    <w:rsid w:val="0021245F"/>
    <w:rsid w:val="00220CF2"/>
    <w:rsid w:val="002366DC"/>
    <w:rsid w:val="00251BD4"/>
    <w:rsid w:val="00252D18"/>
    <w:rsid w:val="002603A6"/>
    <w:rsid w:val="0027048E"/>
    <w:rsid w:val="00270A8C"/>
    <w:rsid w:val="0029081E"/>
    <w:rsid w:val="00293D2E"/>
    <w:rsid w:val="002A37D2"/>
    <w:rsid w:val="002A4DFF"/>
    <w:rsid w:val="002A4E9E"/>
    <w:rsid w:val="002B5ED4"/>
    <w:rsid w:val="002C70F1"/>
    <w:rsid w:val="002D2310"/>
    <w:rsid w:val="002F6A62"/>
    <w:rsid w:val="002F7BAD"/>
    <w:rsid w:val="003049A3"/>
    <w:rsid w:val="00323B94"/>
    <w:rsid w:val="0033551E"/>
    <w:rsid w:val="00340542"/>
    <w:rsid w:val="00341CE8"/>
    <w:rsid w:val="00354E73"/>
    <w:rsid w:val="003A5631"/>
    <w:rsid w:val="003B10E1"/>
    <w:rsid w:val="003B232C"/>
    <w:rsid w:val="003C261E"/>
    <w:rsid w:val="003E0A8B"/>
    <w:rsid w:val="003E1E99"/>
    <w:rsid w:val="003F3DA4"/>
    <w:rsid w:val="003F64B7"/>
    <w:rsid w:val="00411444"/>
    <w:rsid w:val="004124CA"/>
    <w:rsid w:val="00426675"/>
    <w:rsid w:val="004348B2"/>
    <w:rsid w:val="00442CD9"/>
    <w:rsid w:val="0044749F"/>
    <w:rsid w:val="00451CD7"/>
    <w:rsid w:val="00455F29"/>
    <w:rsid w:val="00471BEA"/>
    <w:rsid w:val="00492940"/>
    <w:rsid w:val="004A6171"/>
    <w:rsid w:val="004C19B7"/>
    <w:rsid w:val="004D5E4A"/>
    <w:rsid w:val="004E4B5E"/>
    <w:rsid w:val="004F0EAA"/>
    <w:rsid w:val="004F2244"/>
    <w:rsid w:val="0050464E"/>
    <w:rsid w:val="0051013C"/>
    <w:rsid w:val="005131EA"/>
    <w:rsid w:val="005173B4"/>
    <w:rsid w:val="00533759"/>
    <w:rsid w:val="005354F3"/>
    <w:rsid w:val="00542A15"/>
    <w:rsid w:val="005520AC"/>
    <w:rsid w:val="00554F79"/>
    <w:rsid w:val="00570593"/>
    <w:rsid w:val="005A21E1"/>
    <w:rsid w:val="005B0653"/>
    <w:rsid w:val="005B30B9"/>
    <w:rsid w:val="005B30E2"/>
    <w:rsid w:val="005C181B"/>
    <w:rsid w:val="005D3F1E"/>
    <w:rsid w:val="005D7262"/>
    <w:rsid w:val="005E4DD1"/>
    <w:rsid w:val="00604365"/>
    <w:rsid w:val="00607BB3"/>
    <w:rsid w:val="00632F4B"/>
    <w:rsid w:val="0063782A"/>
    <w:rsid w:val="00655A58"/>
    <w:rsid w:val="006619FA"/>
    <w:rsid w:val="006813C1"/>
    <w:rsid w:val="0068685C"/>
    <w:rsid w:val="00686BCD"/>
    <w:rsid w:val="00696453"/>
    <w:rsid w:val="006B26EA"/>
    <w:rsid w:val="006C1354"/>
    <w:rsid w:val="006C70C0"/>
    <w:rsid w:val="006D05CF"/>
    <w:rsid w:val="006F5032"/>
    <w:rsid w:val="00715A4F"/>
    <w:rsid w:val="007223E9"/>
    <w:rsid w:val="00731E95"/>
    <w:rsid w:val="00744CB1"/>
    <w:rsid w:val="00755935"/>
    <w:rsid w:val="00760706"/>
    <w:rsid w:val="00772EB8"/>
    <w:rsid w:val="00791D78"/>
    <w:rsid w:val="00793F87"/>
    <w:rsid w:val="007967D0"/>
    <w:rsid w:val="007A29A1"/>
    <w:rsid w:val="007A59E1"/>
    <w:rsid w:val="007C7689"/>
    <w:rsid w:val="007E5829"/>
    <w:rsid w:val="007E5AB1"/>
    <w:rsid w:val="007E5DA8"/>
    <w:rsid w:val="00811558"/>
    <w:rsid w:val="00813D85"/>
    <w:rsid w:val="008224D3"/>
    <w:rsid w:val="00837609"/>
    <w:rsid w:val="00843B51"/>
    <w:rsid w:val="00844EB1"/>
    <w:rsid w:val="00847C29"/>
    <w:rsid w:val="00857065"/>
    <w:rsid w:val="00863904"/>
    <w:rsid w:val="00876CA7"/>
    <w:rsid w:val="00877553"/>
    <w:rsid w:val="00887B18"/>
    <w:rsid w:val="00897FD6"/>
    <w:rsid w:val="008A188C"/>
    <w:rsid w:val="008B1631"/>
    <w:rsid w:val="00900F5E"/>
    <w:rsid w:val="00915901"/>
    <w:rsid w:val="00924F58"/>
    <w:rsid w:val="00932566"/>
    <w:rsid w:val="00933398"/>
    <w:rsid w:val="00973A5C"/>
    <w:rsid w:val="0097672F"/>
    <w:rsid w:val="00977E5D"/>
    <w:rsid w:val="009A53F0"/>
    <w:rsid w:val="009B000F"/>
    <w:rsid w:val="009B5D8F"/>
    <w:rsid w:val="009C3314"/>
    <w:rsid w:val="009E58BA"/>
    <w:rsid w:val="009F50D3"/>
    <w:rsid w:val="009F5726"/>
    <w:rsid w:val="00A02D84"/>
    <w:rsid w:val="00A04B39"/>
    <w:rsid w:val="00A123BB"/>
    <w:rsid w:val="00A15810"/>
    <w:rsid w:val="00A15F86"/>
    <w:rsid w:val="00A44C3D"/>
    <w:rsid w:val="00A45361"/>
    <w:rsid w:val="00A45D23"/>
    <w:rsid w:val="00A54402"/>
    <w:rsid w:val="00A567CA"/>
    <w:rsid w:val="00A732ED"/>
    <w:rsid w:val="00A92BAF"/>
    <w:rsid w:val="00A9659E"/>
    <w:rsid w:val="00AA4301"/>
    <w:rsid w:val="00AB6A7D"/>
    <w:rsid w:val="00AD1F4E"/>
    <w:rsid w:val="00AD51F8"/>
    <w:rsid w:val="00AE6D92"/>
    <w:rsid w:val="00B02B18"/>
    <w:rsid w:val="00B11617"/>
    <w:rsid w:val="00B40705"/>
    <w:rsid w:val="00B67A31"/>
    <w:rsid w:val="00B727B6"/>
    <w:rsid w:val="00BB0F5D"/>
    <w:rsid w:val="00BB10AE"/>
    <w:rsid w:val="00BB72B0"/>
    <w:rsid w:val="00BC0CB7"/>
    <w:rsid w:val="00BC3362"/>
    <w:rsid w:val="00BC37B2"/>
    <w:rsid w:val="00BC4220"/>
    <w:rsid w:val="00BE2D9F"/>
    <w:rsid w:val="00BE5F8F"/>
    <w:rsid w:val="00C021FD"/>
    <w:rsid w:val="00C03825"/>
    <w:rsid w:val="00C166F7"/>
    <w:rsid w:val="00C30F9D"/>
    <w:rsid w:val="00C407DF"/>
    <w:rsid w:val="00C66C1C"/>
    <w:rsid w:val="00C73548"/>
    <w:rsid w:val="00C83C1D"/>
    <w:rsid w:val="00C92BC9"/>
    <w:rsid w:val="00CA2867"/>
    <w:rsid w:val="00CA40E0"/>
    <w:rsid w:val="00CC1ED4"/>
    <w:rsid w:val="00CD4826"/>
    <w:rsid w:val="00CE0C2C"/>
    <w:rsid w:val="00CE122F"/>
    <w:rsid w:val="00CF5731"/>
    <w:rsid w:val="00CF668C"/>
    <w:rsid w:val="00D044D2"/>
    <w:rsid w:val="00D134FD"/>
    <w:rsid w:val="00D136A4"/>
    <w:rsid w:val="00D30EE9"/>
    <w:rsid w:val="00D51269"/>
    <w:rsid w:val="00D57736"/>
    <w:rsid w:val="00D61A52"/>
    <w:rsid w:val="00D70B8E"/>
    <w:rsid w:val="00DA42D7"/>
    <w:rsid w:val="00DB171A"/>
    <w:rsid w:val="00DB4EDA"/>
    <w:rsid w:val="00DB50CD"/>
    <w:rsid w:val="00DB7F14"/>
    <w:rsid w:val="00DC2F9C"/>
    <w:rsid w:val="00DC69D1"/>
    <w:rsid w:val="00DC783F"/>
    <w:rsid w:val="00DD75DA"/>
    <w:rsid w:val="00DE3172"/>
    <w:rsid w:val="00E012EC"/>
    <w:rsid w:val="00E07A00"/>
    <w:rsid w:val="00E26C3D"/>
    <w:rsid w:val="00E65885"/>
    <w:rsid w:val="00E814CD"/>
    <w:rsid w:val="00E8557C"/>
    <w:rsid w:val="00E9085B"/>
    <w:rsid w:val="00E91BF1"/>
    <w:rsid w:val="00E91FF5"/>
    <w:rsid w:val="00E95141"/>
    <w:rsid w:val="00E97DCA"/>
    <w:rsid w:val="00EA0B75"/>
    <w:rsid w:val="00ED4E62"/>
    <w:rsid w:val="00F0332D"/>
    <w:rsid w:val="00F3043D"/>
    <w:rsid w:val="00F61DAC"/>
    <w:rsid w:val="00F6216C"/>
    <w:rsid w:val="00F9096A"/>
    <w:rsid w:val="00FC442F"/>
    <w:rsid w:val="00FE24EF"/>
    <w:rsid w:val="00FF2D3B"/>
    <w:rsid w:val="00FF5E4E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F3F1"/>
  <w15:docId w15:val="{FC3AC792-5ECC-49AF-A186-B24E80FB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CC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ED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ED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1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7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E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77E5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aea798-6ad0-4fc9-b068-fcbcaed341f6}" enabled="0" method="" siteId="{7faea798-6ad0-4fc9-b068-fcbcaed341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Petrass</dc:creator>
  <cp:lastModifiedBy>Hughes, Evelyn</cp:lastModifiedBy>
  <cp:revision>2</cp:revision>
  <cp:lastPrinted>2025-05-13T17:37:00Z</cp:lastPrinted>
  <dcterms:created xsi:type="dcterms:W3CDTF">2025-06-19T17:20:00Z</dcterms:created>
  <dcterms:modified xsi:type="dcterms:W3CDTF">2025-06-19T17:20:00Z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