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color w:val="cc2be8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cc2be8"/>
          <w:sz w:val="32"/>
          <w:szCs w:val="32"/>
          <w:rtl w:val="0"/>
        </w:rPr>
        <w:t xml:space="preserve">XPRIZE HEALTHSPAN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cc2be8"/>
          <w:sz w:val="30"/>
          <w:szCs w:val="30"/>
          <w:rtl w:val="0"/>
        </w:rPr>
        <w:t xml:space="preserve">SEMI-FINALS TIMELINE EXAMPLE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40"/>
        <w:gridCol w:w="534"/>
        <w:gridCol w:w="528"/>
        <w:gridCol w:w="587"/>
        <w:gridCol w:w="548"/>
        <w:gridCol w:w="578"/>
        <w:gridCol w:w="543"/>
        <w:gridCol w:w="519"/>
        <w:gridCol w:w="566"/>
        <w:gridCol w:w="531"/>
        <w:gridCol w:w="557"/>
        <w:gridCol w:w="560"/>
        <w:gridCol w:w="557"/>
        <w:gridCol w:w="534"/>
        <w:gridCol w:w="528"/>
        <w:gridCol w:w="587"/>
        <w:gridCol w:w="548"/>
        <w:gridCol w:w="578"/>
        <w:gridCol w:w="543"/>
        <w:tblGridChange w:id="0">
          <w:tblGrid>
            <w:gridCol w:w="4340"/>
            <w:gridCol w:w="534"/>
            <w:gridCol w:w="528"/>
            <w:gridCol w:w="587"/>
            <w:gridCol w:w="548"/>
            <w:gridCol w:w="578"/>
            <w:gridCol w:w="543"/>
            <w:gridCol w:w="519"/>
            <w:gridCol w:w="566"/>
            <w:gridCol w:w="531"/>
            <w:gridCol w:w="557"/>
            <w:gridCol w:w="560"/>
            <w:gridCol w:w="557"/>
            <w:gridCol w:w="534"/>
            <w:gridCol w:w="528"/>
            <w:gridCol w:w="587"/>
            <w:gridCol w:w="548"/>
            <w:gridCol w:w="578"/>
            <w:gridCol w:w="543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2025 Q1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2025 Q2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2025 Q3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2025 Q4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2026 Q1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2026 Q2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JAN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FEB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MAR</w:t>
            </w:r>
          </w:p>
        </w:tc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APR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MAY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JUN</w:t>
            </w:r>
          </w:p>
        </w:tc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JUL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AUG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SEP</w:t>
            </w:r>
          </w:p>
        </w:tc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OCT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NOV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DEC</w:t>
            </w:r>
          </w:p>
        </w:tc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JAN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FEB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MAR</w:t>
            </w:r>
          </w:p>
        </w:tc>
        <w:tc>
          <w:tcPr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APR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MAY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JUN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Helvetica Neue" w:cs="Helvetica Neue" w:eastAsia="Helvetica Neue" w:hAnsi="Helvetica Neue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XPRIZE MILESTONE 1 JUDGING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XPRIZE Administrative Checks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XPRIZE Judges Review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XPRIZE Semi-Finalist Notifications / Awards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START-UP PHASE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XPRIZE Team &amp; Investor Summit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d1" w:val="clear"/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d1" w:val="clear"/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Team Clinical Protocol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Team Regulatory Approvals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Team Staff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RECRUITMENT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Team Participant Recruitment 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Team Baseline Testing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Team Intervention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Team Follow-Up Testing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46">
            <w:pPr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DATA ANALYSIS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Team Analyze Clinical Data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Team Analyze PK/PD or Biomarker Data (if needed)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Team Finalize Data and Analyses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92">
            <w:pPr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DATA SUBMISSION &amp; FINALS APPLICATION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Team Deadline: Submit Results Package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Team Deadline: Submit De-Identified Data Files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Team Deadline: Submit Finals Testing Application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1DE">
            <w:pPr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XPRIZE MILESTONE 2 JUDGING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XPRIZE Administrative Checks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XPRIZE DCC Verification and Collate Results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XPRIZE Judges Review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XPRIZE Finalist Notifications and Awards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Judging Questions on Timeline: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 study timeline adequately described, taking into account start-up activities, recruitment, and planned assessment for Semi-Finals? 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 proposed plan for how the Semi-Finals studies will expedite transition to Finalists’ 1-year clinical trials?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regulatory materials prepared or approvals in process, and is this included in the proposed 1-year timeline?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strategies in place should regulatory timelines be missed or delayed?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the project incorporate efficiencies and utilize existing resources to increase the rate of participant enrollment, study start-up, and data collection, as appropriate?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potential challenges that may impact timeline and corresponding solutions discussed in Qualifying Submission?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A410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A410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A410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A410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A410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A410C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A410C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A410C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A410C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A410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A410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A410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A410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A410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A410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A410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A410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A410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A410C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A410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A410C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A410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A410C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A410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A410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A410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A410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A410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A410C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4A410C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</w:rPr>
  </w:style>
  <w:style w:type="table" w:styleId="TableGrid">
    <w:name w:val="Table Grid"/>
    <w:basedOn w:val="TableNormal"/>
    <w:uiPriority w:val="39"/>
    <w:rsid w:val="004A41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1iJ506a6rUyE6bfPIxGi081Yw==">CgMxLjA4AHIhMTc2bHlORnYybzhIek1PMWJlZ2ZUQTIwYjhrdHRYdHds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2024-07-31T15:47:00Z</dcterms:created>
  <dc:creator>Jamie Justice</dc:creator>
</cp:coreProperties>
</file>