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4D96" w14:textId="77777777" w:rsidR="00E93CA4" w:rsidRPr="00527059" w:rsidRDefault="00E93CA4" w:rsidP="00E93CA4">
      <w:pPr>
        <w:pStyle w:val="BulletedList"/>
        <w:numPr>
          <w:ilvl w:val="0"/>
          <w:numId w:val="0"/>
        </w:numPr>
        <w:rPr>
          <w:rFonts w:asciiTheme="minorHAnsi" w:hAnsiTheme="minorHAnsi" w:cstheme="minorHAnsi"/>
        </w:rPr>
      </w:pPr>
    </w:p>
    <w:p w14:paraId="09D33078" w14:textId="68D0C771" w:rsidR="001C22C8" w:rsidRPr="00527059" w:rsidRDefault="001C22C8" w:rsidP="001C22C8">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527059">
        <w:rPr>
          <w:rFonts w:asciiTheme="minorHAnsi" w:eastAsia="Times New Roman" w:hAnsiTheme="minorHAnsi" w:cstheme="minorHAnsi"/>
          <w:b/>
          <w:bCs/>
          <w:kern w:val="0"/>
          <w:sz w:val="27"/>
          <w:szCs w:val="27"/>
          <w14:ligatures w14:val="none"/>
        </w:rPr>
        <w:t xml:space="preserve">Overview of Issues and Concerns for </w:t>
      </w:r>
      <w:r w:rsidR="00B11519">
        <w:rPr>
          <w:rFonts w:asciiTheme="minorHAnsi" w:eastAsia="Times New Roman" w:hAnsiTheme="minorHAnsi" w:cstheme="minorHAnsi"/>
          <w:b/>
          <w:bCs/>
          <w:kern w:val="0"/>
          <w:sz w:val="27"/>
          <w:szCs w:val="27"/>
          <w14:ligatures w14:val="none"/>
        </w:rPr>
        <w:t>School Medicaid in Texas</w:t>
      </w:r>
    </w:p>
    <w:p w14:paraId="05F7199B" w14:textId="77777777" w:rsidR="001C22C8" w:rsidRPr="00527059" w:rsidRDefault="001C22C8" w:rsidP="001C22C8">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Background</w:t>
      </w:r>
    </w:p>
    <w:p w14:paraId="739DF0A6" w14:textId="4B6EB3D4" w:rsidR="001C22C8" w:rsidRPr="00527059" w:rsidRDefault="001C22C8" w:rsidP="001C22C8">
      <w:p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Th</w:t>
      </w:r>
      <w:r w:rsidR="00926263">
        <w:rPr>
          <w:rFonts w:asciiTheme="minorHAnsi" w:eastAsia="Times New Roman" w:hAnsiTheme="minorHAnsi" w:cstheme="minorHAnsi"/>
          <w:kern w:val="0"/>
          <w:sz w:val="24"/>
          <w14:ligatures w14:val="none"/>
        </w:rPr>
        <w:t xml:space="preserve">e </w:t>
      </w:r>
      <w:r w:rsidRPr="00527059">
        <w:rPr>
          <w:rFonts w:asciiTheme="minorHAnsi" w:eastAsia="Times New Roman" w:hAnsiTheme="minorHAnsi" w:cstheme="minorHAnsi"/>
          <w:kern w:val="0"/>
          <w:sz w:val="24"/>
          <w14:ligatures w14:val="none"/>
        </w:rPr>
        <w:t xml:space="preserve">proposed changes to the </w:t>
      </w:r>
      <w:r w:rsidR="009F4E4D">
        <w:rPr>
          <w:rFonts w:asciiTheme="minorHAnsi" w:eastAsia="Times New Roman" w:hAnsiTheme="minorHAnsi" w:cstheme="minorHAnsi"/>
          <w:kern w:val="0"/>
          <w:sz w:val="24"/>
          <w14:ligatures w14:val="none"/>
        </w:rPr>
        <w:t>School Health and Related Services (</w:t>
      </w:r>
      <w:r w:rsidRPr="00527059">
        <w:rPr>
          <w:rFonts w:asciiTheme="minorHAnsi" w:eastAsia="Times New Roman" w:hAnsiTheme="minorHAnsi" w:cstheme="minorHAnsi"/>
          <w:kern w:val="0"/>
          <w:sz w:val="24"/>
          <w14:ligatures w14:val="none"/>
        </w:rPr>
        <w:t>SHARS</w:t>
      </w:r>
      <w:r w:rsidR="009F4E4D">
        <w:rPr>
          <w:rFonts w:asciiTheme="minorHAnsi" w:eastAsia="Times New Roman" w:hAnsiTheme="minorHAnsi" w:cstheme="minorHAnsi"/>
          <w:kern w:val="0"/>
          <w:sz w:val="24"/>
          <w14:ligatures w14:val="none"/>
        </w:rPr>
        <w:t>)</w:t>
      </w:r>
      <w:r w:rsidRPr="00527059">
        <w:rPr>
          <w:rFonts w:asciiTheme="minorHAnsi" w:eastAsia="Times New Roman" w:hAnsiTheme="minorHAnsi" w:cstheme="minorHAnsi"/>
          <w:kern w:val="0"/>
          <w:sz w:val="24"/>
          <w14:ligatures w14:val="none"/>
        </w:rPr>
        <w:t xml:space="preserve"> policy have raised several significant concerns among school districts. These changes aim to address various aspects of the SHARS program, including PCS, documentation requirements, and RMTS. This document provides a</w:t>
      </w:r>
      <w:r w:rsidR="006C3EFC" w:rsidRPr="00527059">
        <w:rPr>
          <w:rFonts w:asciiTheme="minorHAnsi" w:eastAsia="Times New Roman" w:hAnsiTheme="minorHAnsi" w:cstheme="minorHAnsi"/>
          <w:kern w:val="0"/>
          <w:sz w:val="24"/>
          <w14:ligatures w14:val="none"/>
        </w:rPr>
        <w:t xml:space="preserve">n </w:t>
      </w:r>
      <w:r w:rsidRPr="00527059">
        <w:rPr>
          <w:rFonts w:asciiTheme="minorHAnsi" w:eastAsia="Times New Roman" w:hAnsiTheme="minorHAnsi" w:cstheme="minorHAnsi"/>
          <w:kern w:val="0"/>
          <w:sz w:val="24"/>
          <w14:ligatures w14:val="none"/>
        </w:rPr>
        <w:t>overview of these issues and concerns, aligning with the previous format used for summarizing audit findings.</w:t>
      </w:r>
    </w:p>
    <w:p w14:paraId="5AF2CABA" w14:textId="77777777" w:rsidR="00D70AEB" w:rsidRPr="00527059" w:rsidRDefault="00D70AEB" w:rsidP="00D70AEB">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Background and Previous Recommendations</w:t>
      </w:r>
    </w:p>
    <w:p w14:paraId="2F582779" w14:textId="1CEDFCF4" w:rsidR="00D70AEB" w:rsidRPr="00527059" w:rsidRDefault="00D70AEB" w:rsidP="00D70AEB">
      <w:pPr>
        <w:pStyle w:val="NormalWeb"/>
        <w:rPr>
          <w:rFonts w:asciiTheme="minorHAnsi" w:hAnsiTheme="minorHAnsi" w:cstheme="minorHAnsi"/>
        </w:rPr>
      </w:pPr>
      <w:r w:rsidRPr="00527059">
        <w:rPr>
          <w:rFonts w:asciiTheme="minorHAnsi" w:hAnsiTheme="minorHAnsi" w:cstheme="minorHAnsi"/>
        </w:rPr>
        <w:t>In December 2023, a letter was sent to Chairman Frank and the Members of the House Committee on Human Services, highlighting critical issues and recommendations related to the SHARS program. Over 900 Texas school districts and charters participate in federal Medicaid reimbursement through the SHARS program, which provides essential funding for special education students who need medical assistance to succeed in school.</w:t>
      </w:r>
      <w:r w:rsidR="001A3D37" w:rsidRPr="00527059">
        <w:rPr>
          <w:rFonts w:asciiTheme="minorHAnsi" w:hAnsiTheme="minorHAnsi" w:cstheme="minorHAnsi"/>
        </w:rPr>
        <w:t xml:space="preserve"> These issues and recommendations remain foremost in front of us in addition to the draft policy.</w:t>
      </w:r>
    </w:p>
    <w:p w14:paraId="63EF27FE" w14:textId="77777777" w:rsidR="00D70AEB" w:rsidRPr="00527059" w:rsidRDefault="00D70AEB" w:rsidP="00D70AEB">
      <w:pPr>
        <w:pStyle w:val="Heading4"/>
        <w:rPr>
          <w:rFonts w:asciiTheme="minorHAnsi" w:hAnsiTheme="minorHAnsi" w:cstheme="minorHAnsi"/>
        </w:rPr>
      </w:pPr>
      <w:r w:rsidRPr="00527059">
        <w:rPr>
          <w:rFonts w:asciiTheme="minorHAnsi" w:hAnsiTheme="minorHAnsi" w:cstheme="minorHAnsi"/>
        </w:rPr>
        <w:t>Key Issues Raised:</w:t>
      </w:r>
    </w:p>
    <w:p w14:paraId="68DE2FB6" w14:textId="77777777" w:rsidR="00D70AEB" w:rsidRPr="00527059" w:rsidRDefault="00D70AEB" w:rsidP="00D70AEB">
      <w:pPr>
        <w:pStyle w:val="NormalWeb"/>
        <w:numPr>
          <w:ilvl w:val="0"/>
          <w:numId w:val="28"/>
        </w:numPr>
        <w:rPr>
          <w:rFonts w:asciiTheme="minorHAnsi" w:hAnsiTheme="minorHAnsi" w:cstheme="minorHAnsi"/>
        </w:rPr>
      </w:pPr>
      <w:r w:rsidRPr="00527059">
        <w:rPr>
          <w:rStyle w:val="Strong"/>
          <w:rFonts w:asciiTheme="minorHAnsi" w:eastAsiaTheme="majorEastAsia" w:hAnsiTheme="minorHAnsi" w:cstheme="minorHAnsi"/>
        </w:rPr>
        <w:t>Reduction in SHARS Funding:</w:t>
      </w:r>
    </w:p>
    <w:p w14:paraId="2ED93D4C"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Issue:</w:t>
      </w:r>
      <w:r w:rsidRPr="00527059">
        <w:rPr>
          <w:rFonts w:asciiTheme="minorHAnsi" w:hAnsiTheme="minorHAnsi" w:cstheme="minorHAnsi"/>
        </w:rPr>
        <w:t xml:space="preserve"> Drastic reductions in SHARS funding and delays in settlement notices.</w:t>
      </w:r>
    </w:p>
    <w:p w14:paraId="5F1160D4" w14:textId="6DBEC8F4"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Impact:</w:t>
      </w:r>
      <w:r w:rsidRPr="00527059">
        <w:rPr>
          <w:rFonts w:asciiTheme="minorHAnsi" w:hAnsiTheme="minorHAnsi" w:cstheme="minorHAnsi"/>
        </w:rPr>
        <w:t xml:space="preserve"> Districts face significant financial challenges as </w:t>
      </w:r>
      <w:r w:rsidR="001A3D37" w:rsidRPr="00527059">
        <w:rPr>
          <w:rFonts w:asciiTheme="minorHAnsi" w:hAnsiTheme="minorHAnsi" w:cstheme="minorHAnsi"/>
        </w:rPr>
        <w:t xml:space="preserve">over </w:t>
      </w:r>
      <w:r w:rsidRPr="00527059">
        <w:rPr>
          <w:rFonts w:asciiTheme="minorHAnsi" w:hAnsiTheme="minorHAnsi" w:cstheme="minorHAnsi"/>
        </w:rPr>
        <w:t>$30</w:t>
      </w:r>
      <w:r w:rsidR="001A3D37" w:rsidRPr="00527059">
        <w:rPr>
          <w:rFonts w:asciiTheme="minorHAnsi" w:hAnsiTheme="minorHAnsi" w:cstheme="minorHAnsi"/>
        </w:rPr>
        <w:t>0</w:t>
      </w:r>
      <w:r w:rsidRPr="00527059">
        <w:rPr>
          <w:rFonts w:asciiTheme="minorHAnsi" w:hAnsiTheme="minorHAnsi" w:cstheme="minorHAnsi"/>
        </w:rPr>
        <w:t xml:space="preserve"> million in reimbursements for FY 2022 </w:t>
      </w:r>
      <w:r w:rsidR="00AC42EB" w:rsidRPr="00527059">
        <w:rPr>
          <w:rFonts w:asciiTheme="minorHAnsi" w:hAnsiTheme="minorHAnsi" w:cstheme="minorHAnsi"/>
        </w:rPr>
        <w:t>w</w:t>
      </w:r>
      <w:r w:rsidR="009F4E4D">
        <w:rPr>
          <w:rFonts w:asciiTheme="minorHAnsi" w:hAnsiTheme="minorHAnsi" w:cstheme="minorHAnsi"/>
        </w:rPr>
        <w:t>ere</w:t>
      </w:r>
      <w:r w:rsidR="00AC42EB" w:rsidRPr="00527059">
        <w:rPr>
          <w:rFonts w:asciiTheme="minorHAnsi" w:hAnsiTheme="minorHAnsi" w:cstheme="minorHAnsi"/>
        </w:rPr>
        <w:t xml:space="preserve"> not</w:t>
      </w:r>
      <w:r w:rsidRPr="00527059">
        <w:rPr>
          <w:rFonts w:asciiTheme="minorHAnsi" w:hAnsiTheme="minorHAnsi" w:cstheme="minorHAnsi"/>
        </w:rPr>
        <w:t xml:space="preserve"> available.</w:t>
      </w:r>
    </w:p>
    <w:p w14:paraId="38BC8526" w14:textId="253F9C98"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Recommendation:</w:t>
      </w:r>
      <w:r w:rsidRPr="00527059">
        <w:rPr>
          <w:rFonts w:asciiTheme="minorHAnsi" w:hAnsiTheme="minorHAnsi" w:cstheme="minorHAnsi"/>
        </w:rPr>
        <w:t xml:space="preserve"> Legislative or </w:t>
      </w:r>
      <w:r w:rsidR="009F4E4D">
        <w:rPr>
          <w:rFonts w:asciiTheme="minorHAnsi" w:hAnsiTheme="minorHAnsi" w:cstheme="minorHAnsi"/>
        </w:rPr>
        <w:t>Health and Human Services (</w:t>
      </w:r>
      <w:r w:rsidRPr="00527059">
        <w:rPr>
          <w:rFonts w:asciiTheme="minorHAnsi" w:hAnsiTheme="minorHAnsi" w:cstheme="minorHAnsi"/>
        </w:rPr>
        <w:t>HHSC</w:t>
      </w:r>
      <w:r w:rsidR="009F4E4D">
        <w:rPr>
          <w:rFonts w:asciiTheme="minorHAnsi" w:hAnsiTheme="minorHAnsi" w:cstheme="minorHAnsi"/>
        </w:rPr>
        <w:t>)</w:t>
      </w:r>
      <w:r w:rsidRPr="00527059">
        <w:rPr>
          <w:rFonts w:asciiTheme="minorHAnsi" w:hAnsiTheme="minorHAnsi" w:cstheme="minorHAnsi"/>
        </w:rPr>
        <w:t xml:space="preserve"> action is needed to provide financial relief and address the reimbursement rate recalculations.</w:t>
      </w:r>
    </w:p>
    <w:p w14:paraId="334CDE5E" w14:textId="77777777" w:rsidR="00D70AEB" w:rsidRPr="00527059" w:rsidRDefault="00D70AEB" w:rsidP="00D70AEB">
      <w:pPr>
        <w:pStyle w:val="NormalWeb"/>
        <w:numPr>
          <w:ilvl w:val="0"/>
          <w:numId w:val="28"/>
        </w:numPr>
        <w:rPr>
          <w:rFonts w:asciiTheme="minorHAnsi" w:hAnsiTheme="minorHAnsi" w:cstheme="minorHAnsi"/>
        </w:rPr>
      </w:pPr>
      <w:r w:rsidRPr="00527059">
        <w:rPr>
          <w:rStyle w:val="Strong"/>
          <w:rFonts w:asciiTheme="minorHAnsi" w:eastAsiaTheme="majorEastAsia" w:hAnsiTheme="minorHAnsi" w:cstheme="minorHAnsi"/>
        </w:rPr>
        <w:t>Lack of Transparency:</w:t>
      </w:r>
    </w:p>
    <w:p w14:paraId="26FB94A4"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Issue:</w:t>
      </w:r>
      <w:r w:rsidRPr="00527059">
        <w:rPr>
          <w:rFonts w:asciiTheme="minorHAnsi" w:hAnsiTheme="minorHAnsi" w:cstheme="minorHAnsi"/>
        </w:rPr>
        <w:t xml:space="preserve"> Minimal visibility into the methodology used to calculate reimbursement rates.</w:t>
      </w:r>
    </w:p>
    <w:p w14:paraId="1C821EEA"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Impact:</w:t>
      </w:r>
      <w:r w:rsidRPr="00527059">
        <w:rPr>
          <w:rFonts w:asciiTheme="minorHAnsi" w:hAnsiTheme="minorHAnsi" w:cstheme="minorHAnsi"/>
        </w:rPr>
        <w:t xml:space="preserve"> Schools struggle to understand and address specific concerns without access to audit documentation.</w:t>
      </w:r>
    </w:p>
    <w:p w14:paraId="46E8A77C"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Recommendation:</w:t>
      </w:r>
      <w:r w:rsidRPr="00527059">
        <w:rPr>
          <w:rFonts w:asciiTheme="minorHAnsi" w:hAnsiTheme="minorHAnsi" w:cstheme="minorHAnsi"/>
        </w:rPr>
        <w:t xml:space="preserve"> HHSC should improve transparency by documenting and sharing specific changes that lead to substantial reimbursement reductions.</w:t>
      </w:r>
    </w:p>
    <w:p w14:paraId="666E2DE4" w14:textId="77777777" w:rsidR="00D70AEB" w:rsidRPr="00527059" w:rsidRDefault="00D70AEB" w:rsidP="00D70AEB">
      <w:pPr>
        <w:pStyle w:val="NormalWeb"/>
        <w:numPr>
          <w:ilvl w:val="0"/>
          <w:numId w:val="28"/>
        </w:numPr>
        <w:rPr>
          <w:rFonts w:asciiTheme="minorHAnsi" w:hAnsiTheme="minorHAnsi" w:cstheme="minorHAnsi"/>
        </w:rPr>
      </w:pPr>
      <w:r w:rsidRPr="00527059">
        <w:rPr>
          <w:rStyle w:val="Strong"/>
          <w:rFonts w:asciiTheme="minorHAnsi" w:eastAsiaTheme="majorEastAsia" w:hAnsiTheme="minorHAnsi" w:cstheme="minorHAnsi"/>
        </w:rPr>
        <w:t>Need for Stakeholder Input:</w:t>
      </w:r>
    </w:p>
    <w:p w14:paraId="2BE3689C"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Issue:</w:t>
      </w:r>
      <w:r w:rsidRPr="00527059">
        <w:rPr>
          <w:rFonts w:asciiTheme="minorHAnsi" w:hAnsiTheme="minorHAnsi" w:cstheme="minorHAnsi"/>
        </w:rPr>
        <w:t xml:space="preserve"> Reworking of the SHARS manual and response to the OIG audit occurred without adequate stakeholder input.</w:t>
      </w:r>
    </w:p>
    <w:p w14:paraId="4E30E7E9"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Impact:</w:t>
      </w:r>
      <w:r w:rsidRPr="00527059">
        <w:rPr>
          <w:rFonts w:asciiTheme="minorHAnsi" w:hAnsiTheme="minorHAnsi" w:cstheme="minorHAnsi"/>
        </w:rPr>
        <w:t xml:space="preserve"> Rules and regulations do not fully reflect the unique needs of students and schools.</w:t>
      </w:r>
    </w:p>
    <w:p w14:paraId="453DBB2C"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Recommendation:</w:t>
      </w:r>
      <w:r w:rsidRPr="00527059">
        <w:rPr>
          <w:rFonts w:asciiTheme="minorHAnsi" w:hAnsiTheme="minorHAnsi" w:cstheme="minorHAnsi"/>
        </w:rPr>
        <w:t xml:space="preserve"> Involve parents, school staff, subject matter experts, and communities in the creation of SHARS-related rules and regulations.</w:t>
      </w:r>
    </w:p>
    <w:p w14:paraId="6C42658B" w14:textId="77777777" w:rsidR="00D70AEB" w:rsidRPr="00527059" w:rsidRDefault="00D70AEB" w:rsidP="00D70AEB">
      <w:pPr>
        <w:pStyle w:val="NormalWeb"/>
        <w:numPr>
          <w:ilvl w:val="0"/>
          <w:numId w:val="28"/>
        </w:numPr>
        <w:rPr>
          <w:rFonts w:asciiTheme="minorHAnsi" w:hAnsiTheme="minorHAnsi" w:cstheme="minorHAnsi"/>
        </w:rPr>
      </w:pPr>
      <w:r w:rsidRPr="00527059">
        <w:rPr>
          <w:rStyle w:val="Strong"/>
          <w:rFonts w:asciiTheme="minorHAnsi" w:eastAsiaTheme="majorEastAsia" w:hAnsiTheme="minorHAnsi" w:cstheme="minorHAnsi"/>
        </w:rPr>
        <w:t>Pathway for School District Success:</w:t>
      </w:r>
    </w:p>
    <w:p w14:paraId="4A3E682D"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Issue:</w:t>
      </w:r>
      <w:r w:rsidRPr="00527059">
        <w:rPr>
          <w:rFonts w:asciiTheme="minorHAnsi" w:hAnsiTheme="minorHAnsi" w:cstheme="minorHAnsi"/>
        </w:rPr>
        <w:t xml:space="preserve"> Inadequate HHSC training for district staff and reliance on open-ended reporting forms.</w:t>
      </w:r>
    </w:p>
    <w:p w14:paraId="572F68BA"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Impact:</w:t>
      </w:r>
      <w:r w:rsidRPr="00527059">
        <w:rPr>
          <w:rFonts w:asciiTheme="minorHAnsi" w:hAnsiTheme="minorHAnsi" w:cstheme="minorHAnsi"/>
        </w:rPr>
        <w:t xml:space="preserve"> Increased reliance on third-party billers and potential for inaccuracies in reporting.</w:t>
      </w:r>
    </w:p>
    <w:p w14:paraId="50D1945E" w14:textId="77777777" w:rsidR="00D70AEB" w:rsidRPr="00527059" w:rsidRDefault="00D70AEB" w:rsidP="00D70AEB">
      <w:pPr>
        <w:numPr>
          <w:ilvl w:val="1"/>
          <w:numId w:val="28"/>
        </w:numPr>
        <w:spacing w:before="100" w:beforeAutospacing="1" w:after="100" w:afterAutospacing="1"/>
        <w:rPr>
          <w:rFonts w:asciiTheme="minorHAnsi" w:hAnsiTheme="minorHAnsi" w:cstheme="minorHAnsi"/>
        </w:rPr>
      </w:pPr>
      <w:r w:rsidRPr="00527059">
        <w:rPr>
          <w:rStyle w:val="Strong"/>
          <w:rFonts w:asciiTheme="minorHAnsi" w:hAnsiTheme="minorHAnsi" w:cstheme="minorHAnsi"/>
        </w:rPr>
        <w:t>Recommendation:</w:t>
      </w:r>
      <w:r w:rsidRPr="00527059">
        <w:rPr>
          <w:rFonts w:asciiTheme="minorHAnsi" w:hAnsiTheme="minorHAnsi" w:cstheme="minorHAnsi"/>
        </w:rPr>
        <w:t xml:space="preserve"> Update HHSC training for district staff and ensure reporting forms feature a menu selection process to improve accuracy and reduce dependency on third-party billers.</w:t>
      </w:r>
    </w:p>
    <w:p w14:paraId="1335AA1A" w14:textId="77777777" w:rsidR="00D70AEB" w:rsidRPr="00527059" w:rsidRDefault="00D70AEB" w:rsidP="00D70AEB">
      <w:pPr>
        <w:pStyle w:val="NormalWeb"/>
        <w:rPr>
          <w:rFonts w:asciiTheme="minorHAnsi" w:hAnsiTheme="minorHAnsi" w:cstheme="minorHAnsi"/>
        </w:rPr>
      </w:pPr>
      <w:r w:rsidRPr="00527059">
        <w:rPr>
          <w:rFonts w:asciiTheme="minorHAnsi" w:hAnsiTheme="minorHAnsi" w:cstheme="minorHAnsi"/>
        </w:rPr>
        <w:lastRenderedPageBreak/>
        <w:t>These issues and recommendations form the foundation for the analysis and suggestions presented in this document. The goal is to align proposed SHARS policy changes with best practices and federal guidelines, ensuring effective and efficient program implementation while minimizing administrative burdens.</w:t>
      </w:r>
    </w:p>
    <w:p w14:paraId="0D2609FE" w14:textId="77777777" w:rsidR="001C22C8" w:rsidRPr="00527059" w:rsidRDefault="001C22C8" w:rsidP="001C22C8">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General Concerns</w:t>
      </w:r>
    </w:p>
    <w:p w14:paraId="075A0827" w14:textId="77777777" w:rsidR="001C22C8" w:rsidRPr="00527059" w:rsidRDefault="001C22C8" w:rsidP="001C22C8">
      <w:pPr>
        <w:numPr>
          <w:ilvl w:val="0"/>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Implementation and Compliance</w:t>
      </w:r>
    </w:p>
    <w:p w14:paraId="23F78075" w14:textId="77777777" w:rsidR="001C22C8" w:rsidRPr="00527059" w:rsidRDefault="001C22C8" w:rsidP="001C22C8">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Proposed changes significantly increase the administrative burden on school districts.</w:t>
      </w:r>
    </w:p>
    <w:p w14:paraId="6907DC7F" w14:textId="77777777" w:rsidR="001C22C8" w:rsidRPr="00527059" w:rsidRDefault="001C22C8" w:rsidP="001C22C8">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Contradicts both current policies and federal recommendations, which emphasize reducing administrative burdens and promoting flexibility.</w:t>
      </w:r>
    </w:p>
    <w:p w14:paraId="6DA2E5BA" w14:textId="77777777" w:rsidR="001C22C8" w:rsidRPr="00527059" w:rsidRDefault="001C22C8" w:rsidP="001C22C8">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Maintain streamlined processes as emphasized in the current SHARS Handbook and the federal guide to ensure practical implementation.</w:t>
      </w:r>
    </w:p>
    <w:p w14:paraId="1D53F880" w14:textId="77777777" w:rsidR="001C22C8" w:rsidRPr="00527059" w:rsidRDefault="001C22C8" w:rsidP="001C22C8">
      <w:pPr>
        <w:numPr>
          <w:ilvl w:val="0"/>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Training and Competency Verification</w:t>
      </w:r>
    </w:p>
    <w:p w14:paraId="3970F794" w14:textId="77777777" w:rsidR="001C22C8" w:rsidRPr="00527059" w:rsidRDefault="001C22C8" w:rsidP="001C22C8">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New requirements introduce additional complexities.</w:t>
      </w:r>
    </w:p>
    <w:p w14:paraId="3DD6C1A2" w14:textId="77777777" w:rsidR="001C22C8" w:rsidRPr="00527059" w:rsidRDefault="001C22C8" w:rsidP="001C22C8">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Need for clear, reasonable training requirements that ensure provider competency without imposing undue burdens.</w:t>
      </w:r>
    </w:p>
    <w:p w14:paraId="72CF27A9" w14:textId="77777777" w:rsidR="001C22C8" w:rsidRPr="00527059" w:rsidRDefault="001C22C8" w:rsidP="001C22C8">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Align training and competency guidelines with federal recommendations to avoid unnecessary administrative tasks.</w:t>
      </w:r>
    </w:p>
    <w:p w14:paraId="728D0CD8" w14:textId="77777777" w:rsidR="00D62422" w:rsidRPr="00527059" w:rsidRDefault="00C83946" w:rsidP="00C83946">
      <w:pPr>
        <w:numPr>
          <w:ilvl w:val="0"/>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Lack of Subject Matter Experts at HHSC</w:t>
      </w:r>
    </w:p>
    <w:p w14:paraId="571EDDBF" w14:textId="4024E166" w:rsidR="00D62422" w:rsidRPr="00D62422" w:rsidRDefault="00D62422" w:rsidP="00D62422">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D62422">
        <w:rPr>
          <w:rFonts w:asciiTheme="minorHAnsi" w:eastAsia="Times New Roman" w:hAnsiTheme="minorHAnsi" w:cstheme="minorHAnsi"/>
          <w:b/>
          <w:bCs/>
          <w:kern w:val="0"/>
          <w:sz w:val="24"/>
          <w14:ligatures w14:val="none"/>
        </w:rPr>
        <w:t>Issue:</w:t>
      </w:r>
      <w:r w:rsidRPr="00D62422">
        <w:rPr>
          <w:rFonts w:asciiTheme="minorHAnsi" w:eastAsia="Times New Roman" w:hAnsiTheme="minorHAnsi" w:cstheme="minorHAnsi"/>
          <w:kern w:val="0"/>
          <w:sz w:val="24"/>
          <w14:ligatures w14:val="none"/>
        </w:rPr>
        <w:t xml:space="preserve"> HHSC has no true subject matter expert and continues to exclude individuals with actual knowledge from planning and decision-making processes.</w:t>
      </w:r>
    </w:p>
    <w:p w14:paraId="562DBF3A" w14:textId="4E32CCB6" w:rsidR="00D62422" w:rsidRPr="00D62422" w:rsidRDefault="00D62422" w:rsidP="00D62422">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D62422">
        <w:rPr>
          <w:rFonts w:asciiTheme="minorHAnsi" w:eastAsia="Times New Roman" w:hAnsiTheme="minorHAnsi" w:cstheme="minorHAnsi"/>
          <w:b/>
          <w:bCs/>
          <w:kern w:val="0"/>
          <w:sz w:val="24"/>
          <w14:ligatures w14:val="none"/>
        </w:rPr>
        <w:t>Concern:</w:t>
      </w:r>
      <w:r w:rsidRPr="00D62422">
        <w:rPr>
          <w:rFonts w:asciiTheme="minorHAnsi" w:eastAsia="Times New Roman" w:hAnsiTheme="minorHAnsi" w:cstheme="minorHAnsi"/>
          <w:kern w:val="0"/>
          <w:sz w:val="24"/>
          <w14:ligatures w14:val="none"/>
        </w:rPr>
        <w:t xml:space="preserve"> This results in policies and implementations that do not align with the needs of the program served. For instance, the new policy draft was released to school districts with only a two-week timeline for input, during a period when schools are historically closed (including Fridays and the 4th of July week). This shows a lack of regard for the over 900 districts and the multitude of educators involved in the program. Schools are told to adhere to HHSC timelines, showing continued disregard for active participants.</w:t>
      </w:r>
    </w:p>
    <w:p w14:paraId="4FD853A1" w14:textId="21308C29" w:rsidR="00C83946" w:rsidRPr="00527059" w:rsidRDefault="00D62422" w:rsidP="00D62422">
      <w:pPr>
        <w:numPr>
          <w:ilvl w:val="1"/>
          <w:numId w:val="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HHSC should involve individuals with actual knowledge of the program in the planning and decision-making processes to ensure policies and implementations are practical and aligned with the needs of school districts. Small adjustments in timelines and processes could significantly improve service to schools.</w:t>
      </w:r>
    </w:p>
    <w:p w14:paraId="103166FF" w14:textId="77777777" w:rsidR="001C22C8" w:rsidRPr="00527059" w:rsidRDefault="001C22C8" w:rsidP="001C22C8">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Specific Concerns</w:t>
      </w:r>
    </w:p>
    <w:p w14:paraId="52490DFE" w14:textId="77777777" w:rsidR="001C22C8" w:rsidRPr="00527059" w:rsidRDefault="001C22C8" w:rsidP="001C22C8">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1. Nurse-Delegated Tasks (Page 4, Item 6)</w:t>
      </w:r>
    </w:p>
    <w:p w14:paraId="57AA9C71" w14:textId="77777777" w:rsidR="001C22C8" w:rsidRPr="00527059" w:rsidRDefault="001C22C8" w:rsidP="001C22C8">
      <w:pPr>
        <w:numPr>
          <w:ilvl w:val="0"/>
          <w:numId w:val="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Definitions for 'regular intervals' and specific delegated tasks are unclear.</w:t>
      </w:r>
    </w:p>
    <w:p w14:paraId="47408CB8" w14:textId="5752F639" w:rsidR="001C22C8" w:rsidRPr="00527059" w:rsidRDefault="001C22C8" w:rsidP="001C22C8">
      <w:pPr>
        <w:numPr>
          <w:ilvl w:val="0"/>
          <w:numId w:val="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More details on how often evaluations should occur and what they should include. Current requirements may impose undue burdens on already overworked nurses.</w:t>
      </w:r>
      <w:r w:rsidR="008D209E" w:rsidRPr="00527059">
        <w:rPr>
          <w:rFonts w:asciiTheme="minorHAnsi" w:eastAsia="Times New Roman" w:hAnsiTheme="minorHAnsi" w:cstheme="minorHAnsi"/>
          <w:kern w:val="0"/>
          <w:sz w:val="24"/>
          <w14:ligatures w14:val="none"/>
        </w:rPr>
        <w:t xml:space="preserve"> Definitions for 'regular intervals' and specific delegated tasks are also required.</w:t>
      </w:r>
    </w:p>
    <w:p w14:paraId="12633761" w14:textId="77777777" w:rsidR="001C22C8" w:rsidRPr="00527059" w:rsidRDefault="001C22C8" w:rsidP="001C22C8">
      <w:pPr>
        <w:numPr>
          <w:ilvl w:val="0"/>
          <w:numId w:val="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lastRenderedPageBreak/>
        <w:t>Recommendation:</w:t>
      </w:r>
      <w:r w:rsidRPr="00527059">
        <w:rPr>
          <w:rFonts w:asciiTheme="minorHAnsi" w:eastAsia="Times New Roman" w:hAnsiTheme="minorHAnsi" w:cstheme="minorHAnsi"/>
          <w:kern w:val="0"/>
          <w:sz w:val="24"/>
          <w14:ligatures w14:val="none"/>
        </w:rPr>
        <w:t xml:space="preserve"> Provide clear definitions and practical guidelines to minimize administrative burden.</w:t>
      </w:r>
    </w:p>
    <w:p w14:paraId="03503120" w14:textId="77777777" w:rsidR="001C22C8" w:rsidRPr="00527059" w:rsidRDefault="001C22C8" w:rsidP="001C22C8">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2. Definition of PCS and Requirements (Page 5, Items 7-12)</w:t>
      </w:r>
    </w:p>
    <w:p w14:paraId="36794489" w14:textId="77777777" w:rsidR="001C22C8" w:rsidRPr="00527059" w:rsidRDefault="001C22C8" w:rsidP="001C22C8">
      <w:pPr>
        <w:numPr>
          <w:ilvl w:val="0"/>
          <w:numId w:val="4"/>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Specific definitions for physical, functional, cognitive, and behavioral limitations are necessary.</w:t>
      </w:r>
    </w:p>
    <w:p w14:paraId="6547002E" w14:textId="77777777" w:rsidR="001C22C8" w:rsidRPr="00527059" w:rsidRDefault="001C22C8" w:rsidP="001C22C8">
      <w:pPr>
        <w:numPr>
          <w:ilvl w:val="0"/>
          <w:numId w:val="4"/>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Removal of certain limitations without explanation seems arbitrary. Clear and comprehensive definitions are essential for understanding and compliance.</w:t>
      </w:r>
    </w:p>
    <w:p w14:paraId="6FDECF55" w14:textId="77777777" w:rsidR="001C22C8" w:rsidRPr="00527059" w:rsidRDefault="001C22C8" w:rsidP="001C22C8">
      <w:pPr>
        <w:numPr>
          <w:ilvl w:val="0"/>
          <w:numId w:val="4"/>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Ensure clear definitions and comprehensive inclusion of functional, cognitive, and behavioral limitations.</w:t>
      </w:r>
    </w:p>
    <w:p w14:paraId="51C4DBED" w14:textId="77777777" w:rsidR="001C22C8" w:rsidRPr="00527059" w:rsidRDefault="001C22C8" w:rsidP="001C22C8">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3. ADLs and IADLs (Page 6, Items 14-18)</w:t>
      </w:r>
    </w:p>
    <w:p w14:paraId="0835EA3E" w14:textId="4E56794E" w:rsidR="001C22C8" w:rsidRPr="00527059" w:rsidRDefault="001C22C8" w:rsidP="001C22C8">
      <w:pPr>
        <w:numPr>
          <w:ilvl w:val="0"/>
          <w:numId w:val="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w:t>
      </w:r>
      <w:r w:rsidR="00B57C05" w:rsidRPr="00527059">
        <w:rPr>
          <w:rFonts w:asciiTheme="minorHAnsi" w:eastAsia="Times New Roman" w:hAnsiTheme="minorHAnsi" w:cstheme="minorHAnsi"/>
          <w:kern w:val="0"/>
          <w:sz w:val="24"/>
          <w14:ligatures w14:val="none"/>
        </w:rPr>
        <w:t>The list of ADLs and IADLs should include a broader range of activities to support student needs comprehensively. The removal of certain activities appears arbitrary and requires further input from school districts and families.</w:t>
      </w:r>
    </w:p>
    <w:p w14:paraId="17680985" w14:textId="77777777" w:rsidR="001C22C8" w:rsidRPr="00527059" w:rsidRDefault="001C22C8" w:rsidP="001C22C8">
      <w:pPr>
        <w:numPr>
          <w:ilvl w:val="0"/>
          <w:numId w:val="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Removal of certain activities appears arbitrary and needs further input from school districts and families. Emphasize the need for flexibility and inclusivity in the list of activities.</w:t>
      </w:r>
    </w:p>
    <w:p w14:paraId="0D41E140" w14:textId="77777777" w:rsidR="001C22C8" w:rsidRPr="00527059" w:rsidRDefault="001C22C8" w:rsidP="001C22C8">
      <w:pPr>
        <w:numPr>
          <w:ilvl w:val="0"/>
          <w:numId w:val="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Include a broader range of activities and ensure flexibility and inclusivity.</w:t>
      </w:r>
    </w:p>
    <w:p w14:paraId="336B14FD" w14:textId="77777777" w:rsidR="001C22C8" w:rsidRPr="00527059" w:rsidRDefault="001C22C8" w:rsidP="001C22C8">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4. Group PCS Billing (Page 8, Items 20-21)</w:t>
      </w:r>
    </w:p>
    <w:p w14:paraId="2E11055A" w14:textId="77777777" w:rsidR="001C22C8" w:rsidRPr="00527059" w:rsidRDefault="001C22C8" w:rsidP="001C22C8">
      <w:pPr>
        <w:numPr>
          <w:ilvl w:val="0"/>
          <w:numId w:val="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Prohibition of group PCS billing contradicts federal recommendations for flexibility in billing methodologies.</w:t>
      </w:r>
    </w:p>
    <w:p w14:paraId="5E07268F" w14:textId="77777777" w:rsidR="001C22C8" w:rsidRPr="00527059" w:rsidRDefault="001C22C8" w:rsidP="001C22C8">
      <w:pPr>
        <w:numPr>
          <w:ilvl w:val="0"/>
          <w:numId w:val="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Maintaining the current policy is crucial to avoid undue stress on schools and reflect staffing realities.</w:t>
      </w:r>
    </w:p>
    <w:p w14:paraId="535F261F" w14:textId="77777777" w:rsidR="001C22C8" w:rsidRPr="00527059" w:rsidRDefault="001C22C8" w:rsidP="001C22C8">
      <w:pPr>
        <w:numPr>
          <w:ilvl w:val="0"/>
          <w:numId w:val="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Maintain current group billing policies to ensure flexibility and practicality.</w:t>
      </w:r>
    </w:p>
    <w:p w14:paraId="04465BDE" w14:textId="77777777" w:rsidR="001C22C8" w:rsidRPr="00527059" w:rsidRDefault="001C22C8" w:rsidP="001C22C8">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5. Documentation Requirements (Page 9, Items 26-29)</w:t>
      </w:r>
    </w:p>
    <w:p w14:paraId="1A3EF6A5" w14:textId="77777777" w:rsidR="001C22C8" w:rsidRPr="00527059" w:rsidRDefault="001C22C8" w:rsidP="001C22C8">
      <w:pPr>
        <w:numPr>
          <w:ilvl w:val="0"/>
          <w:numId w:val="7"/>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Proposed extensive documentation requirements are impractical and could overburden school staff.</w:t>
      </w:r>
    </w:p>
    <w:p w14:paraId="7C88C4BF" w14:textId="063B8133" w:rsidR="001C22C8" w:rsidRPr="00527059" w:rsidRDefault="001C22C8" w:rsidP="001C22C8">
      <w:pPr>
        <w:numPr>
          <w:ilvl w:val="0"/>
          <w:numId w:val="7"/>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Maintain essential documentation practices that align with federal guidelines, reducing unnecessary administrative work. The requirement for specific start and end times for each activity is impractical.</w:t>
      </w:r>
      <w:r w:rsidR="008A12A7" w:rsidRPr="00527059">
        <w:rPr>
          <w:rFonts w:asciiTheme="minorHAnsi" w:eastAsia="Times New Roman" w:hAnsiTheme="minorHAnsi" w:cstheme="minorHAnsi"/>
          <w:kern w:val="0"/>
          <w:sz w:val="24"/>
          <w14:ligatures w14:val="none"/>
        </w:rPr>
        <w:t xml:space="preserve"> The proposed extensive documentation requirements are impractical and could overburden school staff. We recommend maintaining essential documentation practices that align with federal guidelines, reducing unnecessary administrative work.</w:t>
      </w:r>
    </w:p>
    <w:p w14:paraId="25F0C50E" w14:textId="77777777" w:rsidR="001C22C8" w:rsidRPr="00527059" w:rsidRDefault="001C22C8" w:rsidP="001C22C8">
      <w:pPr>
        <w:numPr>
          <w:ilvl w:val="0"/>
          <w:numId w:val="7"/>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Streamline documentation processes to avoid excessive administrative work.</w:t>
      </w:r>
    </w:p>
    <w:p w14:paraId="20C472B2" w14:textId="77777777" w:rsidR="001C22C8" w:rsidRPr="00527059" w:rsidRDefault="001C22C8" w:rsidP="001C22C8">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6. Interim Claiming and Timed Units (Page 10, Items 31-35)</w:t>
      </w:r>
    </w:p>
    <w:p w14:paraId="2B70CA84" w14:textId="77777777" w:rsidR="001C22C8" w:rsidRPr="00527059" w:rsidRDefault="001C22C8" w:rsidP="001C22C8">
      <w:pPr>
        <w:numPr>
          <w:ilvl w:val="0"/>
          <w:numId w:val="8"/>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lastRenderedPageBreak/>
        <w:t>Issue:</w:t>
      </w:r>
      <w:r w:rsidRPr="00527059">
        <w:rPr>
          <w:rFonts w:asciiTheme="minorHAnsi" w:eastAsia="Times New Roman" w:hAnsiTheme="minorHAnsi" w:cstheme="minorHAnsi"/>
          <w:kern w:val="0"/>
          <w:sz w:val="24"/>
          <w14:ligatures w14:val="none"/>
        </w:rPr>
        <w:t xml:space="preserve"> New requirements for interim claiming and timed units set a standard that is difficult for staff to achieve.</w:t>
      </w:r>
    </w:p>
    <w:p w14:paraId="2115F81B" w14:textId="0CE65518" w:rsidR="001C22C8" w:rsidRPr="00527059" w:rsidRDefault="001C22C8" w:rsidP="001C22C8">
      <w:pPr>
        <w:numPr>
          <w:ilvl w:val="0"/>
          <w:numId w:val="8"/>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This measure could result in schools pulling out of the program and federal dollars being removed from the state. Practical and feasible billing practices are essential to avoid punitive measures.</w:t>
      </w:r>
      <w:r w:rsidR="00410C23" w:rsidRPr="00527059">
        <w:rPr>
          <w:rFonts w:asciiTheme="minorHAnsi" w:eastAsia="Times New Roman" w:hAnsiTheme="minorHAnsi" w:cstheme="minorHAnsi"/>
          <w:kern w:val="0"/>
          <w:sz w:val="24"/>
          <w14:ligatures w14:val="none"/>
        </w:rPr>
        <w:t xml:space="preserve"> This sets a standard that is almost impossible for staff to achieve. School staff would be documenting more than serving students. There is no parallel to this requirement in other programs that we have been able to find. Its inclusion here has the appearance of a punitive measure, especially given how overworked and understaffed schools are. This measure alone will result in schools pulling out of the program and federal dollars being removed from our state. This should minimally be studied more before it ever goes into place.</w:t>
      </w:r>
    </w:p>
    <w:p w14:paraId="62DBE897" w14:textId="77777777" w:rsidR="001C22C8" w:rsidRPr="00527059" w:rsidRDefault="001C22C8" w:rsidP="001C22C8">
      <w:pPr>
        <w:numPr>
          <w:ilvl w:val="0"/>
          <w:numId w:val="8"/>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Implement practical billing practices that align with current policies and federal guidelines.</w:t>
      </w:r>
    </w:p>
    <w:p w14:paraId="4FAA5075" w14:textId="77777777" w:rsidR="009A1D25" w:rsidRPr="00527059" w:rsidRDefault="009A1D25" w:rsidP="009A1D25">
      <w:p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Conclusion and Recommendations</w:t>
      </w:r>
    </w:p>
    <w:p w14:paraId="06DCC20F" w14:textId="6F2DEB57" w:rsidR="001C22C8" w:rsidRPr="00527059" w:rsidRDefault="001C22C8" w:rsidP="001C22C8">
      <w:pPr>
        <w:numPr>
          <w:ilvl w:val="0"/>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Involve Multiple Stakeholders</w:t>
      </w:r>
    </w:p>
    <w:p w14:paraId="5E0D66A1" w14:textId="61BB36B5" w:rsidR="001C22C8" w:rsidRPr="00527059" w:rsidRDefault="001C22C8" w:rsidP="001C22C8">
      <w:pPr>
        <w:numPr>
          <w:ilvl w:val="1"/>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The policy change process should involve multiple stakeholders</w:t>
      </w:r>
      <w:r w:rsidR="00527059" w:rsidRPr="00527059">
        <w:rPr>
          <w:rFonts w:asciiTheme="minorHAnsi" w:eastAsia="Times New Roman" w:hAnsiTheme="minorHAnsi" w:cstheme="minorHAnsi"/>
          <w:kern w:val="0"/>
          <w:sz w:val="24"/>
          <w14:ligatures w14:val="none"/>
        </w:rPr>
        <w:t xml:space="preserve"> in an advisory group</w:t>
      </w:r>
      <w:r w:rsidRPr="00527059">
        <w:rPr>
          <w:rFonts w:asciiTheme="minorHAnsi" w:eastAsia="Times New Roman" w:hAnsiTheme="minorHAnsi" w:cstheme="minorHAnsi"/>
          <w:kern w:val="0"/>
          <w:sz w:val="24"/>
          <w14:ligatures w14:val="none"/>
        </w:rPr>
        <w:t>, including school districts, vendors, associations, and parents. Aligns with federal recommendations for collaboration and stakeholder involvement.</w:t>
      </w:r>
    </w:p>
    <w:p w14:paraId="43271CA2" w14:textId="77777777" w:rsidR="001C22C8" w:rsidRPr="00527059" w:rsidRDefault="001C22C8" w:rsidP="001C22C8">
      <w:pPr>
        <w:numPr>
          <w:ilvl w:val="0"/>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Trust in Licensed Staff’s Judgment</w:t>
      </w:r>
    </w:p>
    <w:p w14:paraId="4E824D24" w14:textId="77777777" w:rsidR="001C22C8" w:rsidRPr="00527059" w:rsidRDefault="001C22C8" w:rsidP="001C22C8">
      <w:pPr>
        <w:numPr>
          <w:ilvl w:val="1"/>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Minimize additional requirements for nurse-delegated tasks to avoid undue burdens. Trust in the judgment of licensed staff and reduce administrative burden.</w:t>
      </w:r>
    </w:p>
    <w:p w14:paraId="77D63332" w14:textId="77777777" w:rsidR="001C22C8" w:rsidRPr="00527059" w:rsidRDefault="001C22C8" w:rsidP="001C22C8">
      <w:pPr>
        <w:numPr>
          <w:ilvl w:val="0"/>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Ensure Comprehensive Service Provision</w:t>
      </w:r>
    </w:p>
    <w:p w14:paraId="6F76EC30" w14:textId="77777777" w:rsidR="001C22C8" w:rsidRPr="00527059" w:rsidRDefault="001C22C8" w:rsidP="001C22C8">
      <w:pPr>
        <w:numPr>
          <w:ilvl w:val="1"/>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Include a broader range of functional skills in PCS reimbursement. Align service provision with federal guidelines for inclusivity.</w:t>
      </w:r>
    </w:p>
    <w:p w14:paraId="404FE459" w14:textId="77777777" w:rsidR="001C22C8" w:rsidRPr="00527059" w:rsidRDefault="001C22C8" w:rsidP="001C22C8">
      <w:pPr>
        <w:numPr>
          <w:ilvl w:val="0"/>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Avoid Impractical Standards</w:t>
      </w:r>
    </w:p>
    <w:p w14:paraId="53F80E5C" w14:textId="77777777" w:rsidR="001C22C8" w:rsidRPr="00527059" w:rsidRDefault="001C22C8" w:rsidP="001C22C8">
      <w:pPr>
        <w:numPr>
          <w:ilvl w:val="1"/>
          <w:numId w:val="1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Documentation requirements should be practical and not overburden school staff. Group PCS billing should be maintained to reflect staffing realities and avoid undue stress.</w:t>
      </w:r>
    </w:p>
    <w:p w14:paraId="049283CF" w14:textId="77777777" w:rsidR="00FB7F0E" w:rsidRPr="00527059" w:rsidRDefault="00FB7F0E" w:rsidP="00FB7F0E">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Comparative Analysis of PCS Policies in Other States</w:t>
      </w:r>
    </w:p>
    <w:p w14:paraId="03D74C62" w14:textId="77777777" w:rsidR="00FB7F0E" w:rsidRPr="00527059" w:rsidRDefault="00FB7F0E" w:rsidP="00FB7F0E">
      <w:p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Research conducted on Personal Care Services (PCS) policies from various states highlights key issues that Texas should consider in its SHARS policy revisions. This section provides an overview of PCS policies from selected states, emphasizing their definitions, provider qualifications, key services, and documentation requirements that align with the concerns and findings related to the proposed changes in Texas.</w:t>
      </w:r>
    </w:p>
    <w:p w14:paraId="7599F735"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Oklahoma</w:t>
      </w:r>
    </w:p>
    <w:p w14:paraId="2EADA185" w14:textId="77777777" w:rsidR="00FB7F0E" w:rsidRPr="00527059" w:rsidRDefault="00FB7F0E" w:rsidP="00FB7F0E">
      <w:pPr>
        <w:numPr>
          <w:ilvl w:val="0"/>
          <w:numId w:val="1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School-based paraprofessionals, RNs, LPNs.</w:t>
      </w:r>
    </w:p>
    <w:p w14:paraId="561A2922" w14:textId="77777777" w:rsidR="00FB7F0E" w:rsidRPr="00527059" w:rsidRDefault="00FB7F0E" w:rsidP="00FB7F0E">
      <w:pPr>
        <w:numPr>
          <w:ilvl w:val="0"/>
          <w:numId w:val="1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lastRenderedPageBreak/>
        <w:t>Key Services:</w:t>
      </w:r>
      <w:r w:rsidRPr="00527059">
        <w:rPr>
          <w:rFonts w:asciiTheme="minorHAnsi" w:eastAsia="Times New Roman" w:hAnsiTheme="minorHAnsi" w:cstheme="minorHAnsi"/>
          <w:kern w:val="0"/>
          <w:sz w:val="24"/>
          <w14:ligatures w14:val="none"/>
        </w:rPr>
        <w:t xml:space="preserve"> Toileting, oral feeding, positioning, hygiene.</w:t>
      </w:r>
    </w:p>
    <w:p w14:paraId="44A8D192" w14:textId="050357C7" w:rsidR="00FB7F0E" w:rsidRPr="00527059" w:rsidRDefault="00FB7F0E" w:rsidP="00FB7F0E">
      <w:pPr>
        <w:numPr>
          <w:ilvl w:val="0"/>
          <w:numId w:val="1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Assessment/evaluation must identify specific diagnos</w:t>
      </w:r>
      <w:r w:rsidR="0064219B">
        <w:rPr>
          <w:rFonts w:asciiTheme="minorHAnsi" w:eastAsia="Times New Roman" w:hAnsiTheme="minorHAnsi" w:cstheme="minorHAnsi"/>
          <w:kern w:val="0"/>
          <w:sz w:val="24"/>
          <w14:ligatures w14:val="none"/>
        </w:rPr>
        <w:t>e</w:t>
      </w:r>
      <w:r w:rsidRPr="00527059">
        <w:rPr>
          <w:rFonts w:asciiTheme="minorHAnsi" w:eastAsia="Times New Roman" w:hAnsiTheme="minorHAnsi" w:cstheme="minorHAnsi"/>
          <w:kern w:val="0"/>
          <w:sz w:val="24"/>
          <w14:ligatures w14:val="none"/>
        </w:rPr>
        <w:t>s and medically necessary needs.</w:t>
      </w:r>
    </w:p>
    <w:p w14:paraId="1B7CAE2D" w14:textId="77777777" w:rsidR="00FB7F0E" w:rsidRPr="00527059" w:rsidRDefault="00FB7F0E" w:rsidP="00FB7F0E">
      <w:pPr>
        <w:numPr>
          <w:ilvl w:val="0"/>
          <w:numId w:val="1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adopt comprehensive assessment guidelines to ensure clear identification of medically necessary services.</w:t>
      </w:r>
    </w:p>
    <w:p w14:paraId="1932A98D" w14:textId="53DD690D"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Colorado</w:t>
      </w:r>
    </w:p>
    <w:p w14:paraId="479F3859" w14:textId="3D572ADE" w:rsidR="00FB7F0E" w:rsidRPr="00527059" w:rsidRDefault="00FB7F0E" w:rsidP="00FB7F0E">
      <w:pPr>
        <w:numPr>
          <w:ilvl w:val="0"/>
          <w:numId w:val="1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RNs, LPNs, NPs, nurse aides,</w:t>
      </w:r>
      <w:r w:rsidR="009F4E4D">
        <w:rPr>
          <w:rFonts w:asciiTheme="minorHAnsi" w:eastAsia="Times New Roman" w:hAnsiTheme="minorHAnsi" w:cstheme="minorHAnsi"/>
          <w:kern w:val="0"/>
          <w:sz w:val="24"/>
          <w14:ligatures w14:val="none"/>
        </w:rPr>
        <w:t xml:space="preserve"> and</w:t>
      </w:r>
      <w:r w:rsidRPr="00527059">
        <w:rPr>
          <w:rFonts w:asciiTheme="minorHAnsi" w:eastAsia="Times New Roman" w:hAnsiTheme="minorHAnsi" w:cstheme="minorHAnsi"/>
          <w:kern w:val="0"/>
          <w:sz w:val="24"/>
          <w14:ligatures w14:val="none"/>
        </w:rPr>
        <w:t xml:space="preserve"> personal care aides.</w:t>
      </w:r>
    </w:p>
    <w:p w14:paraId="42419C07" w14:textId="0A7D0ADB" w:rsidR="00FB7F0E" w:rsidRPr="00527059" w:rsidRDefault="00FB7F0E" w:rsidP="00FB7F0E">
      <w:pPr>
        <w:numPr>
          <w:ilvl w:val="0"/>
          <w:numId w:val="1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Eating/feeding, respiratory assistance, toileting/diapering, personal hygiene, mobility/positioning, self-administered medications, behavioral redirection,</w:t>
      </w:r>
      <w:r w:rsidR="009F4E4D">
        <w:rPr>
          <w:rFonts w:asciiTheme="minorHAnsi" w:eastAsia="Times New Roman" w:hAnsiTheme="minorHAnsi" w:cstheme="minorHAnsi"/>
          <w:kern w:val="0"/>
          <w:sz w:val="24"/>
          <w14:ligatures w14:val="none"/>
        </w:rPr>
        <w:t xml:space="preserve"> and</w:t>
      </w:r>
      <w:r w:rsidRPr="00527059">
        <w:rPr>
          <w:rFonts w:asciiTheme="minorHAnsi" w:eastAsia="Times New Roman" w:hAnsiTheme="minorHAnsi" w:cstheme="minorHAnsi"/>
          <w:kern w:val="0"/>
          <w:sz w:val="24"/>
          <w14:ligatures w14:val="none"/>
        </w:rPr>
        <w:t xml:space="preserve"> safety monitoring.</w:t>
      </w:r>
    </w:p>
    <w:p w14:paraId="6A0B8F62" w14:textId="54DACBBC" w:rsidR="00FB7F0E" w:rsidRPr="00527059" w:rsidRDefault="00FB7F0E" w:rsidP="00FB7F0E">
      <w:pPr>
        <w:numPr>
          <w:ilvl w:val="0"/>
          <w:numId w:val="1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Services must be documented in a plan of treatment.</w:t>
      </w:r>
    </w:p>
    <w:p w14:paraId="58889072" w14:textId="77CC27CD" w:rsidR="00FB7F0E" w:rsidRPr="00527059" w:rsidRDefault="00FB7F0E" w:rsidP="00FB7F0E">
      <w:pPr>
        <w:numPr>
          <w:ilvl w:val="0"/>
          <w:numId w:val="1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ensure PCS services are included in a comprehensive treatment plan</w:t>
      </w:r>
      <w:r w:rsidR="006740A9" w:rsidRPr="00527059">
        <w:rPr>
          <w:rFonts w:asciiTheme="minorHAnsi" w:eastAsia="Times New Roman" w:hAnsiTheme="minorHAnsi" w:cstheme="minorHAnsi"/>
          <w:kern w:val="0"/>
          <w:sz w:val="24"/>
          <w14:ligatures w14:val="none"/>
        </w:rPr>
        <w:t xml:space="preserve"> and include </w:t>
      </w:r>
      <w:r w:rsidR="00506315" w:rsidRPr="00527059">
        <w:rPr>
          <w:rFonts w:asciiTheme="minorHAnsi" w:eastAsia="Times New Roman" w:hAnsiTheme="minorHAnsi" w:cstheme="minorHAnsi"/>
          <w:kern w:val="0"/>
          <w:sz w:val="24"/>
          <w14:ligatures w14:val="none"/>
        </w:rPr>
        <w:t>behavioral redirection and safety monitoring</w:t>
      </w:r>
      <w:r w:rsidRPr="00527059">
        <w:rPr>
          <w:rFonts w:asciiTheme="minorHAnsi" w:eastAsia="Times New Roman" w:hAnsiTheme="minorHAnsi" w:cstheme="minorHAnsi"/>
          <w:kern w:val="0"/>
          <w:sz w:val="24"/>
          <w14:ligatures w14:val="none"/>
        </w:rPr>
        <w:t>.</w:t>
      </w:r>
    </w:p>
    <w:p w14:paraId="0A1A4A32"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Arkansas</w:t>
      </w:r>
    </w:p>
    <w:p w14:paraId="2D9D1F68" w14:textId="6E1FDC2E" w:rsidR="00FB7F0E" w:rsidRPr="00527059" w:rsidRDefault="00FB7F0E" w:rsidP="00FB7F0E">
      <w:pPr>
        <w:numPr>
          <w:ilvl w:val="0"/>
          <w:numId w:val="14"/>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Personal care aides.</w:t>
      </w:r>
    </w:p>
    <w:p w14:paraId="7FCA97F1" w14:textId="77777777" w:rsidR="00FB7F0E" w:rsidRPr="00527059" w:rsidRDefault="00FB7F0E" w:rsidP="00FB7F0E">
      <w:pPr>
        <w:numPr>
          <w:ilvl w:val="0"/>
          <w:numId w:val="14"/>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Dressing, eating, toileting, grooming, transferring, walking.</w:t>
      </w:r>
    </w:p>
    <w:p w14:paraId="1A33FD7A" w14:textId="4EBCCB77" w:rsidR="00FB7F0E" w:rsidRPr="00527059" w:rsidRDefault="00FB7F0E" w:rsidP="00FB7F0E">
      <w:pPr>
        <w:numPr>
          <w:ilvl w:val="0"/>
          <w:numId w:val="14"/>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Must be listed on the member’s IEP</w:t>
      </w:r>
      <w:r w:rsidR="00506315" w:rsidRPr="00527059">
        <w:rPr>
          <w:rFonts w:asciiTheme="minorHAnsi" w:eastAsia="Times New Roman" w:hAnsiTheme="minorHAnsi" w:cstheme="minorHAnsi"/>
          <w:kern w:val="0"/>
          <w:sz w:val="24"/>
          <w14:ligatures w14:val="none"/>
        </w:rPr>
        <w:t>.</w:t>
      </w:r>
    </w:p>
    <w:p w14:paraId="578FEDC9" w14:textId="7ADAD79D" w:rsidR="00FB7F0E" w:rsidRPr="00527059" w:rsidRDefault="00FB7F0E" w:rsidP="00FB7F0E">
      <w:pPr>
        <w:numPr>
          <w:ilvl w:val="0"/>
          <w:numId w:val="14"/>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align PCS documentation with IEP requirements </w:t>
      </w:r>
      <w:r w:rsidR="00506315" w:rsidRPr="00527059">
        <w:rPr>
          <w:rFonts w:asciiTheme="minorHAnsi" w:eastAsia="Times New Roman" w:hAnsiTheme="minorHAnsi" w:cstheme="minorHAnsi"/>
          <w:kern w:val="0"/>
          <w:sz w:val="24"/>
          <w14:ligatures w14:val="none"/>
        </w:rPr>
        <w:t>without the additional need for further unwieldy documentation.</w:t>
      </w:r>
    </w:p>
    <w:p w14:paraId="47A22843"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Massachusetts</w:t>
      </w:r>
    </w:p>
    <w:p w14:paraId="32EF6FED" w14:textId="58DAA9E9" w:rsidR="00FB7F0E" w:rsidRPr="00527059" w:rsidRDefault="00FB7F0E" w:rsidP="00FB7F0E">
      <w:pPr>
        <w:numPr>
          <w:ilvl w:val="0"/>
          <w:numId w:val="1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Personal care attendants (PCAs), paraprofessionals, </w:t>
      </w:r>
      <w:r w:rsidR="009F4E4D">
        <w:rPr>
          <w:rFonts w:asciiTheme="minorHAnsi" w:eastAsia="Times New Roman" w:hAnsiTheme="minorHAnsi" w:cstheme="minorHAnsi"/>
          <w:kern w:val="0"/>
          <w:sz w:val="24"/>
          <w14:ligatures w14:val="none"/>
        </w:rPr>
        <w:t xml:space="preserve">and </w:t>
      </w:r>
      <w:r w:rsidRPr="00527059">
        <w:rPr>
          <w:rFonts w:asciiTheme="minorHAnsi" w:eastAsia="Times New Roman" w:hAnsiTheme="minorHAnsi" w:cstheme="minorHAnsi"/>
          <w:kern w:val="0"/>
          <w:sz w:val="24"/>
          <w14:ligatures w14:val="none"/>
        </w:rPr>
        <w:t>nurse aides.</w:t>
      </w:r>
    </w:p>
    <w:p w14:paraId="26A5ABEB" w14:textId="77777777" w:rsidR="00FB7F0E" w:rsidRPr="00527059" w:rsidRDefault="00FB7F0E" w:rsidP="00FB7F0E">
      <w:pPr>
        <w:numPr>
          <w:ilvl w:val="0"/>
          <w:numId w:val="1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ADLs and IADLs as documented in the service plan.</w:t>
      </w:r>
    </w:p>
    <w:p w14:paraId="3CC12186" w14:textId="77777777" w:rsidR="00FB7F0E" w:rsidRPr="00527059" w:rsidRDefault="00FB7F0E" w:rsidP="00FB7F0E">
      <w:pPr>
        <w:numPr>
          <w:ilvl w:val="0"/>
          <w:numId w:val="1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Proof of qualifications and training, high school diploma or GED, CPR/First Aid certification.</w:t>
      </w:r>
    </w:p>
    <w:p w14:paraId="582FF2A3" w14:textId="400B1098" w:rsidR="00FB7F0E" w:rsidRPr="00527059" w:rsidRDefault="00FB7F0E" w:rsidP="00FB7F0E">
      <w:pPr>
        <w:numPr>
          <w:ilvl w:val="0"/>
          <w:numId w:val="1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include </w:t>
      </w:r>
      <w:r w:rsidR="002C01F8" w:rsidRPr="00527059">
        <w:rPr>
          <w:rFonts w:asciiTheme="minorHAnsi" w:eastAsia="Times New Roman" w:hAnsiTheme="minorHAnsi" w:cstheme="minorHAnsi"/>
          <w:kern w:val="0"/>
          <w:sz w:val="24"/>
          <w14:ligatures w14:val="none"/>
        </w:rPr>
        <w:t>more specific</w:t>
      </w:r>
      <w:r w:rsidRPr="00527059">
        <w:rPr>
          <w:rFonts w:asciiTheme="minorHAnsi" w:eastAsia="Times New Roman" w:hAnsiTheme="minorHAnsi" w:cstheme="minorHAnsi"/>
          <w:kern w:val="0"/>
          <w:sz w:val="24"/>
          <w14:ligatures w14:val="none"/>
        </w:rPr>
        <w:t xml:space="preserve"> qualification and training documentation requirements</w:t>
      </w:r>
      <w:r w:rsidR="002C01F8" w:rsidRPr="00527059">
        <w:rPr>
          <w:rFonts w:asciiTheme="minorHAnsi" w:eastAsia="Times New Roman" w:hAnsiTheme="minorHAnsi" w:cstheme="minorHAnsi"/>
          <w:kern w:val="0"/>
          <w:sz w:val="24"/>
          <w14:ligatures w14:val="none"/>
        </w:rPr>
        <w:t xml:space="preserve"> similar to Massachusetts</w:t>
      </w:r>
      <w:r w:rsidRPr="00527059">
        <w:rPr>
          <w:rFonts w:asciiTheme="minorHAnsi" w:eastAsia="Times New Roman" w:hAnsiTheme="minorHAnsi" w:cstheme="minorHAnsi"/>
          <w:kern w:val="0"/>
          <w:sz w:val="24"/>
          <w14:ligatures w14:val="none"/>
        </w:rPr>
        <w:t>.</w:t>
      </w:r>
    </w:p>
    <w:p w14:paraId="427C32B4"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Michigan</w:t>
      </w:r>
    </w:p>
    <w:p w14:paraId="31B1F4EA" w14:textId="77777777" w:rsidR="00FB7F0E" w:rsidRPr="00527059" w:rsidRDefault="00FB7F0E" w:rsidP="00FB7F0E">
      <w:pPr>
        <w:numPr>
          <w:ilvl w:val="0"/>
          <w:numId w:val="1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Personal care paraprofessionals under the direction of a qualified professional.</w:t>
      </w:r>
    </w:p>
    <w:p w14:paraId="130D8077" w14:textId="77777777" w:rsidR="00FB7F0E" w:rsidRPr="00527059" w:rsidRDefault="00FB7F0E" w:rsidP="00FB7F0E">
      <w:pPr>
        <w:numPr>
          <w:ilvl w:val="0"/>
          <w:numId w:val="1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ADLs and related services.</w:t>
      </w:r>
    </w:p>
    <w:p w14:paraId="08060557" w14:textId="77777777" w:rsidR="00FB7F0E" w:rsidRPr="00527059" w:rsidRDefault="00FB7F0E" w:rsidP="00FB7F0E">
      <w:pPr>
        <w:numPr>
          <w:ilvl w:val="0"/>
          <w:numId w:val="1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Services must be under the direction of a qualified professional and documented in the IEP.</w:t>
      </w:r>
    </w:p>
    <w:p w14:paraId="6A077F3E" w14:textId="31A73EBB" w:rsidR="00FB7F0E" w:rsidRPr="00527059" w:rsidRDefault="00FB7F0E" w:rsidP="00FB7F0E">
      <w:pPr>
        <w:numPr>
          <w:ilvl w:val="0"/>
          <w:numId w:val="1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ensure PCS services are provided under professional direction and documented in the IEP.</w:t>
      </w:r>
      <w:r w:rsidR="00E25470" w:rsidRPr="00527059">
        <w:rPr>
          <w:rFonts w:asciiTheme="minorHAnsi" w:eastAsia="Times New Roman" w:hAnsiTheme="minorHAnsi" w:cstheme="minorHAnsi"/>
          <w:kern w:val="0"/>
          <w:sz w:val="24"/>
          <w14:ligatures w14:val="none"/>
        </w:rPr>
        <w:t xml:space="preserve"> Professionals in these cases include a wider range of staff such as </w:t>
      </w:r>
      <w:r w:rsidR="00E25470" w:rsidRPr="00527059">
        <w:rPr>
          <w:rFonts w:asciiTheme="minorHAnsi" w:eastAsia="Times New Roman" w:hAnsiTheme="minorHAnsi" w:cstheme="minorHAnsi"/>
          <w:kern w:val="0"/>
          <w:sz w:val="24"/>
          <w14:ligatures w14:val="none"/>
        </w:rPr>
        <w:lastRenderedPageBreak/>
        <w:t>certified teachers who have training and expertise in the service provided such as special education teachers.</w:t>
      </w:r>
    </w:p>
    <w:p w14:paraId="3CA966E8"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Nebraska</w:t>
      </w:r>
    </w:p>
    <w:p w14:paraId="49DDB603" w14:textId="77777777" w:rsidR="00FB7F0E" w:rsidRPr="00527059" w:rsidRDefault="00FB7F0E" w:rsidP="00FB7F0E">
      <w:pPr>
        <w:numPr>
          <w:ilvl w:val="0"/>
          <w:numId w:val="17"/>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Personal assistance providers aged 19 or older.</w:t>
      </w:r>
    </w:p>
    <w:p w14:paraId="599C61DC" w14:textId="77777777" w:rsidR="00FB7F0E" w:rsidRPr="00527059" w:rsidRDefault="00FB7F0E" w:rsidP="00FB7F0E">
      <w:pPr>
        <w:numPr>
          <w:ilvl w:val="0"/>
          <w:numId w:val="17"/>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ADLs as documented in the IEP.</w:t>
      </w:r>
    </w:p>
    <w:p w14:paraId="5F632DC8" w14:textId="77777777" w:rsidR="00FB7F0E" w:rsidRPr="00527059" w:rsidRDefault="00FB7F0E" w:rsidP="00FB7F0E">
      <w:pPr>
        <w:numPr>
          <w:ilvl w:val="0"/>
          <w:numId w:val="17"/>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Services must be documented in the IEP or IFSP.</w:t>
      </w:r>
    </w:p>
    <w:p w14:paraId="7AE02AF8" w14:textId="4ADA8319" w:rsidR="00FB7F0E" w:rsidRPr="00527059" w:rsidRDefault="00FB7F0E" w:rsidP="00FB7F0E">
      <w:pPr>
        <w:numPr>
          <w:ilvl w:val="0"/>
          <w:numId w:val="17"/>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document PCS services thoroughly in IEPs or IFSPs</w:t>
      </w:r>
      <w:r w:rsidR="00E25470" w:rsidRPr="00527059">
        <w:rPr>
          <w:rFonts w:asciiTheme="minorHAnsi" w:eastAsia="Times New Roman" w:hAnsiTheme="minorHAnsi" w:cstheme="minorHAnsi"/>
          <w:kern w:val="0"/>
          <w:sz w:val="24"/>
          <w14:ligatures w14:val="none"/>
        </w:rPr>
        <w:t xml:space="preserve"> similar to Nebraska.</w:t>
      </w:r>
    </w:p>
    <w:p w14:paraId="04DD59B8"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Pennsylvania</w:t>
      </w:r>
    </w:p>
    <w:p w14:paraId="3AC7916E" w14:textId="5AE5D8A6" w:rsidR="00FB7F0E" w:rsidRPr="00527059" w:rsidRDefault="00FB7F0E" w:rsidP="00FB7F0E">
      <w:pPr>
        <w:numPr>
          <w:ilvl w:val="0"/>
          <w:numId w:val="18"/>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Individuals aged 18 or older with </w:t>
      </w:r>
      <w:r w:rsidR="009F4E4D">
        <w:rPr>
          <w:rFonts w:asciiTheme="minorHAnsi" w:eastAsia="Times New Roman" w:hAnsiTheme="minorHAnsi" w:cstheme="minorHAnsi"/>
          <w:kern w:val="0"/>
          <w:sz w:val="24"/>
          <w14:ligatures w14:val="none"/>
        </w:rPr>
        <w:t xml:space="preserve">a </w:t>
      </w:r>
      <w:r w:rsidRPr="00527059">
        <w:rPr>
          <w:rFonts w:asciiTheme="minorHAnsi" w:eastAsia="Times New Roman" w:hAnsiTheme="minorHAnsi" w:cstheme="minorHAnsi"/>
          <w:kern w:val="0"/>
          <w:sz w:val="24"/>
          <w14:ligatures w14:val="none"/>
        </w:rPr>
        <w:t>high school diploma or GED, First Aid and CPR certification.</w:t>
      </w:r>
    </w:p>
    <w:p w14:paraId="1522FB89" w14:textId="77777777" w:rsidR="00FB7F0E" w:rsidRPr="00527059" w:rsidRDefault="00FB7F0E" w:rsidP="00FB7F0E">
      <w:pPr>
        <w:numPr>
          <w:ilvl w:val="0"/>
          <w:numId w:val="18"/>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ADLs as prescribed by a licensed MD or DO.</w:t>
      </w:r>
    </w:p>
    <w:p w14:paraId="7A1870B0" w14:textId="77777777" w:rsidR="00FB7F0E" w:rsidRPr="00527059" w:rsidRDefault="00FB7F0E" w:rsidP="00FB7F0E">
      <w:pPr>
        <w:numPr>
          <w:ilvl w:val="0"/>
          <w:numId w:val="18"/>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Proof of qualifications and training.</w:t>
      </w:r>
    </w:p>
    <w:p w14:paraId="16A7F970" w14:textId="495A9D6F" w:rsidR="00FB7F0E" w:rsidRPr="00527059" w:rsidRDefault="00FB7F0E" w:rsidP="00FB7F0E">
      <w:pPr>
        <w:numPr>
          <w:ilvl w:val="0"/>
          <w:numId w:val="18"/>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require detailed proof of provider qualifications and </w:t>
      </w:r>
      <w:r w:rsidR="00431A82" w:rsidRPr="00527059">
        <w:rPr>
          <w:rFonts w:asciiTheme="minorHAnsi" w:eastAsia="Times New Roman" w:hAnsiTheme="minorHAnsi" w:cstheme="minorHAnsi"/>
          <w:kern w:val="0"/>
          <w:sz w:val="24"/>
          <w14:ligatures w14:val="none"/>
        </w:rPr>
        <w:t>training in alignment with the Pennsylvania requirements</w:t>
      </w:r>
      <w:r w:rsidRPr="00527059">
        <w:rPr>
          <w:rFonts w:asciiTheme="minorHAnsi" w:eastAsia="Times New Roman" w:hAnsiTheme="minorHAnsi" w:cstheme="minorHAnsi"/>
          <w:kern w:val="0"/>
          <w:sz w:val="24"/>
          <w14:ligatures w14:val="none"/>
        </w:rPr>
        <w:t>.</w:t>
      </w:r>
    </w:p>
    <w:p w14:paraId="45190DF0"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Rhode Island</w:t>
      </w:r>
    </w:p>
    <w:p w14:paraId="6D387844" w14:textId="77777777" w:rsidR="00FB7F0E" w:rsidRPr="00527059" w:rsidRDefault="00FB7F0E" w:rsidP="00FB7F0E">
      <w:pPr>
        <w:numPr>
          <w:ilvl w:val="0"/>
          <w:numId w:val="19"/>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Personal care assistants working under supervision.</w:t>
      </w:r>
    </w:p>
    <w:p w14:paraId="2A6ABEDE" w14:textId="77777777" w:rsidR="00FB7F0E" w:rsidRPr="00527059" w:rsidRDefault="00FB7F0E" w:rsidP="00FB7F0E">
      <w:pPr>
        <w:numPr>
          <w:ilvl w:val="0"/>
          <w:numId w:val="19"/>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Individual assistance as documented in the IEP.</w:t>
      </w:r>
    </w:p>
    <w:p w14:paraId="5C290F5B" w14:textId="3BFCD03A" w:rsidR="00FB7F0E" w:rsidRPr="00527059" w:rsidRDefault="00FB7F0E" w:rsidP="00FB7F0E">
      <w:pPr>
        <w:numPr>
          <w:ilvl w:val="0"/>
          <w:numId w:val="19"/>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Must meet state-specific minimum time requirements.</w:t>
      </w:r>
    </w:p>
    <w:p w14:paraId="2E3F058E" w14:textId="138B4E73" w:rsidR="00FB7F0E" w:rsidRPr="00527059" w:rsidRDefault="00FB7F0E" w:rsidP="00FB7F0E">
      <w:pPr>
        <w:numPr>
          <w:ilvl w:val="0"/>
          <w:numId w:val="19"/>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ensure PCS services meet state-specific documentation requirements</w:t>
      </w:r>
      <w:r w:rsidR="00431A82" w:rsidRPr="00527059">
        <w:rPr>
          <w:rFonts w:asciiTheme="minorHAnsi" w:eastAsia="Times New Roman" w:hAnsiTheme="minorHAnsi" w:cstheme="minorHAnsi"/>
          <w:kern w:val="0"/>
          <w:sz w:val="24"/>
          <w14:ligatures w14:val="none"/>
        </w:rPr>
        <w:t xml:space="preserve"> which could be attained through training with the special education teacher who has the necessary skills and training</w:t>
      </w:r>
      <w:r w:rsidRPr="00527059">
        <w:rPr>
          <w:rFonts w:asciiTheme="minorHAnsi" w:eastAsia="Times New Roman" w:hAnsiTheme="minorHAnsi" w:cstheme="minorHAnsi"/>
          <w:kern w:val="0"/>
          <w:sz w:val="24"/>
          <w14:ligatures w14:val="none"/>
        </w:rPr>
        <w:t>.</w:t>
      </w:r>
    </w:p>
    <w:p w14:paraId="42C4D6DA" w14:textId="77777777" w:rsidR="00FB7F0E" w:rsidRPr="00527059" w:rsidRDefault="00FB7F0E" w:rsidP="00FB7F0E">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West Virginia</w:t>
      </w:r>
    </w:p>
    <w:p w14:paraId="147340DD" w14:textId="00E04A29" w:rsidR="00FB7F0E" w:rsidRPr="00527059" w:rsidRDefault="00FB7F0E" w:rsidP="00FB7F0E">
      <w:pPr>
        <w:numPr>
          <w:ilvl w:val="0"/>
          <w:numId w:val="2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Eligible Providers:</w:t>
      </w:r>
      <w:r w:rsidRPr="00527059">
        <w:rPr>
          <w:rFonts w:asciiTheme="minorHAnsi" w:eastAsia="Times New Roman" w:hAnsiTheme="minorHAnsi" w:cstheme="minorHAnsi"/>
          <w:kern w:val="0"/>
          <w:sz w:val="24"/>
          <w14:ligatures w14:val="none"/>
        </w:rPr>
        <w:t xml:space="preserve"> Home health aides, nursing assistants, </w:t>
      </w:r>
      <w:r w:rsidR="009F4E4D">
        <w:rPr>
          <w:rFonts w:asciiTheme="minorHAnsi" w:eastAsia="Times New Roman" w:hAnsiTheme="minorHAnsi" w:cstheme="minorHAnsi"/>
          <w:kern w:val="0"/>
          <w:sz w:val="24"/>
          <w14:ligatures w14:val="none"/>
        </w:rPr>
        <w:t xml:space="preserve">and </w:t>
      </w:r>
      <w:r w:rsidRPr="00527059">
        <w:rPr>
          <w:rFonts w:asciiTheme="minorHAnsi" w:eastAsia="Times New Roman" w:hAnsiTheme="minorHAnsi" w:cstheme="minorHAnsi"/>
          <w:kern w:val="0"/>
          <w:sz w:val="24"/>
          <w14:ligatures w14:val="none"/>
        </w:rPr>
        <w:t>personal care providers with required training.</w:t>
      </w:r>
    </w:p>
    <w:p w14:paraId="248C25B2" w14:textId="77777777" w:rsidR="00FB7F0E" w:rsidRPr="00527059" w:rsidRDefault="00FB7F0E" w:rsidP="00FB7F0E">
      <w:pPr>
        <w:numPr>
          <w:ilvl w:val="0"/>
          <w:numId w:val="2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Key Services:</w:t>
      </w:r>
      <w:r w:rsidRPr="00527059">
        <w:rPr>
          <w:rFonts w:asciiTheme="minorHAnsi" w:eastAsia="Times New Roman" w:hAnsiTheme="minorHAnsi" w:cstheme="minorHAnsi"/>
          <w:kern w:val="0"/>
          <w:sz w:val="24"/>
          <w14:ligatures w14:val="none"/>
        </w:rPr>
        <w:t xml:space="preserve"> ADLs and related services.</w:t>
      </w:r>
    </w:p>
    <w:p w14:paraId="2F8ED51D" w14:textId="7B827A3D" w:rsidR="00FB7F0E" w:rsidRPr="00527059" w:rsidRDefault="00FB7F0E" w:rsidP="00FB7F0E">
      <w:pPr>
        <w:numPr>
          <w:ilvl w:val="0"/>
          <w:numId w:val="2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w:t>
      </w:r>
      <w:r w:rsidRPr="00527059">
        <w:rPr>
          <w:rFonts w:asciiTheme="minorHAnsi" w:eastAsia="Times New Roman" w:hAnsiTheme="minorHAnsi" w:cstheme="minorHAnsi"/>
          <w:kern w:val="0"/>
          <w:sz w:val="24"/>
          <w14:ligatures w14:val="none"/>
        </w:rPr>
        <w:t xml:space="preserve"> Services must be </w:t>
      </w:r>
      <w:r w:rsidR="00A85AC5" w:rsidRPr="00527059">
        <w:rPr>
          <w:rFonts w:asciiTheme="minorHAnsi" w:eastAsia="Times New Roman" w:hAnsiTheme="minorHAnsi" w:cstheme="minorHAnsi"/>
          <w:kern w:val="0"/>
          <w:sz w:val="24"/>
          <w14:ligatures w14:val="none"/>
        </w:rPr>
        <w:t>documented,</w:t>
      </w:r>
      <w:r w:rsidRPr="00527059">
        <w:rPr>
          <w:rFonts w:asciiTheme="minorHAnsi" w:eastAsia="Times New Roman" w:hAnsiTheme="minorHAnsi" w:cstheme="minorHAnsi"/>
          <w:kern w:val="0"/>
          <w:sz w:val="24"/>
          <w14:ligatures w14:val="none"/>
        </w:rPr>
        <w:t xml:space="preserve"> and providers must maintain up-to-date training.</w:t>
      </w:r>
    </w:p>
    <w:p w14:paraId="15927CE6" w14:textId="4BE6E59A" w:rsidR="00FB7F0E" w:rsidRPr="00527059" w:rsidRDefault="00FB7F0E" w:rsidP="00FB7F0E">
      <w:pPr>
        <w:numPr>
          <w:ilvl w:val="0"/>
          <w:numId w:val="20"/>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Concern:</w:t>
      </w:r>
      <w:r w:rsidRPr="00527059">
        <w:rPr>
          <w:rFonts w:asciiTheme="minorHAnsi" w:eastAsia="Times New Roman" w:hAnsiTheme="minorHAnsi" w:cstheme="minorHAnsi"/>
          <w:kern w:val="0"/>
          <w:sz w:val="24"/>
          <w14:ligatures w14:val="none"/>
        </w:rPr>
        <w:t xml:space="preserve"> Texas should ensure thorough documentation and continuous training for providers</w:t>
      </w:r>
      <w:r w:rsidR="00C615F7" w:rsidRPr="00527059">
        <w:rPr>
          <w:rFonts w:asciiTheme="minorHAnsi" w:eastAsia="Times New Roman" w:hAnsiTheme="minorHAnsi" w:cstheme="minorHAnsi"/>
          <w:kern w:val="0"/>
          <w:sz w:val="24"/>
          <w14:ligatures w14:val="none"/>
        </w:rPr>
        <w:t xml:space="preserve"> which could be attained through training with the special education teacher who has the necessary skills and training</w:t>
      </w:r>
      <w:r w:rsidRPr="00527059">
        <w:rPr>
          <w:rFonts w:asciiTheme="minorHAnsi" w:eastAsia="Times New Roman" w:hAnsiTheme="minorHAnsi" w:cstheme="minorHAnsi"/>
          <w:kern w:val="0"/>
          <w:sz w:val="24"/>
          <w14:ligatures w14:val="none"/>
        </w:rPr>
        <w:t>.</w:t>
      </w:r>
    </w:p>
    <w:p w14:paraId="2FCE4259" w14:textId="77777777" w:rsidR="00FB7F0E" w:rsidRPr="00527059" w:rsidRDefault="00FB7F0E" w:rsidP="00FB7F0E">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Conclusion and Recommendations</w:t>
      </w:r>
    </w:p>
    <w:p w14:paraId="16D40C0D" w14:textId="77777777" w:rsidR="00FB7F0E" w:rsidRPr="00527059" w:rsidRDefault="00FB7F0E" w:rsidP="00FB7F0E">
      <w:p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By comparing Texas SHARS policies with those from other states, several key concerns and best practices emerge:</w:t>
      </w:r>
    </w:p>
    <w:p w14:paraId="5FDF1FA5" w14:textId="77777777" w:rsidR="00FB7F0E" w:rsidRPr="00527059" w:rsidRDefault="00FB7F0E" w:rsidP="00FB7F0E">
      <w:pPr>
        <w:numPr>
          <w:ilvl w:val="0"/>
          <w:numId w:val="21"/>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lastRenderedPageBreak/>
        <w:t>Comprehensive Service Provision:</w:t>
      </w:r>
    </w:p>
    <w:p w14:paraId="0DCDDD61" w14:textId="0BB1FEF6" w:rsidR="00FB7F0E" w:rsidRPr="00527059" w:rsidRDefault="00FB7F0E" w:rsidP="00FB7F0E">
      <w:pPr>
        <w:numPr>
          <w:ilvl w:val="1"/>
          <w:numId w:val="21"/>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Texas should adopt detailed definitions and include a broad range of PCS activities, ensuring functional, cognitive, and behavioral needs are met. This aligns with practices from states like Colorado and Arkansas, which ensure PCS services are aligned with IEP requirements.</w:t>
      </w:r>
    </w:p>
    <w:p w14:paraId="2DB27CF3" w14:textId="77777777" w:rsidR="00FB7F0E" w:rsidRPr="00527059" w:rsidRDefault="00FB7F0E" w:rsidP="00FB7F0E">
      <w:pPr>
        <w:numPr>
          <w:ilvl w:val="0"/>
          <w:numId w:val="21"/>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Practical Documentation Requirements:</w:t>
      </w:r>
    </w:p>
    <w:p w14:paraId="33703E49" w14:textId="0EB9E82F" w:rsidR="00FB7F0E" w:rsidRPr="00527059" w:rsidRDefault="00FB7F0E" w:rsidP="00FB7F0E">
      <w:pPr>
        <w:numPr>
          <w:ilvl w:val="1"/>
          <w:numId w:val="21"/>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Texas should streamline documentation processes to reduce administrative burden while maintaining essential records. Practices from states like Massachusetts and Nebraska highlight the importance of robust qualification documentation through IEP/IFSP documentation.</w:t>
      </w:r>
    </w:p>
    <w:p w14:paraId="74123F59" w14:textId="77777777" w:rsidR="00FB7F0E" w:rsidRPr="00527059" w:rsidRDefault="00FB7F0E" w:rsidP="00FB7F0E">
      <w:pPr>
        <w:numPr>
          <w:ilvl w:val="0"/>
          <w:numId w:val="21"/>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Flexible Billing Practices:</w:t>
      </w:r>
    </w:p>
    <w:p w14:paraId="7B152873" w14:textId="77777777" w:rsidR="00FB7F0E" w:rsidRPr="00527059" w:rsidRDefault="00FB7F0E" w:rsidP="00FB7F0E">
      <w:pPr>
        <w:numPr>
          <w:ilvl w:val="1"/>
          <w:numId w:val="21"/>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Texas should maintain current group PCS billing policies and ensure flexibility in billing methodologies, aligning with federal recommendations and practices from states like Rhode Island and Pennsylvania.</w:t>
      </w:r>
    </w:p>
    <w:p w14:paraId="06C2E023" w14:textId="77777777" w:rsidR="00A85AC5" w:rsidRPr="00527059" w:rsidRDefault="00A85AC5" w:rsidP="00A85AC5">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527059">
        <w:rPr>
          <w:rFonts w:asciiTheme="minorHAnsi" w:eastAsia="Times New Roman" w:hAnsiTheme="minorHAnsi" w:cstheme="minorHAnsi"/>
          <w:b/>
          <w:bCs/>
          <w:kern w:val="0"/>
          <w:sz w:val="27"/>
          <w:szCs w:val="27"/>
          <w14:ligatures w14:val="none"/>
        </w:rPr>
        <w:t>Proposed Changes in Texas SHARS Policy with No Basis in Federal Guidelines</w:t>
      </w:r>
    </w:p>
    <w:p w14:paraId="7D1D442D" w14:textId="77777777" w:rsidR="00A85AC5" w:rsidRPr="00527059" w:rsidRDefault="00A85AC5" w:rsidP="00A85AC5">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Comparison with the CMS Guide: Delivering Services in School-Based Settings</w:t>
      </w:r>
    </w:p>
    <w:p w14:paraId="66CD6BA8" w14:textId="77777777" w:rsidR="00A85AC5" w:rsidRPr="00527059" w:rsidRDefault="00A85AC5" w:rsidP="00A85AC5">
      <w:p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In reviewing the proposed changes to the Texas SHARS policy against the CMS guide for Medicaid services in school-based settings, several proposed changes by Texas appear to lack basis in federal guidelines and best practices. The following points highlight areas where Texas' proposals diverge from CMS recommendations, suggesting these changes should be reconsidered or eliminated.</w:t>
      </w:r>
    </w:p>
    <w:p w14:paraId="71A7E8DD" w14:textId="77777777" w:rsidR="00A85AC5" w:rsidRPr="00527059" w:rsidRDefault="00A85AC5" w:rsidP="00A85AC5">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Nurse-Delegated Tasks</w:t>
      </w:r>
    </w:p>
    <w:p w14:paraId="519D6883" w14:textId="77777777" w:rsidR="00A85AC5" w:rsidRPr="00527059" w:rsidRDefault="00A85AC5" w:rsidP="00A85AC5">
      <w:pPr>
        <w:numPr>
          <w:ilvl w:val="0"/>
          <w:numId w:val="2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Proposed in Texas:</w:t>
      </w:r>
      <w:r w:rsidRPr="00527059">
        <w:rPr>
          <w:rFonts w:asciiTheme="minorHAnsi" w:eastAsia="Times New Roman" w:hAnsiTheme="minorHAnsi" w:cstheme="minorHAnsi"/>
          <w:kern w:val="0"/>
          <w:sz w:val="24"/>
          <w14:ligatures w14:val="none"/>
        </w:rPr>
        <w:t xml:space="preserve"> Additional requirements for frequent evaluations and detailed documentation of nurse-delegated tasks.</w:t>
      </w:r>
    </w:p>
    <w:p w14:paraId="1EBF37BE" w14:textId="77777777" w:rsidR="00A85AC5" w:rsidRPr="00527059" w:rsidRDefault="00A85AC5" w:rsidP="00A85AC5">
      <w:pPr>
        <w:numPr>
          <w:ilvl w:val="0"/>
          <w:numId w:val="2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Federal Guidance:</w:t>
      </w:r>
      <w:r w:rsidRPr="00527059">
        <w:rPr>
          <w:rFonts w:asciiTheme="minorHAnsi" w:eastAsia="Times New Roman" w:hAnsiTheme="minorHAnsi" w:cstheme="minorHAnsi"/>
          <w:kern w:val="0"/>
          <w:sz w:val="24"/>
          <w14:ligatures w14:val="none"/>
        </w:rPr>
        <w:t xml:space="preserve"> The CMS guide emphasizes reducing administrative burdens and promoting flexibility (page 7).</w:t>
      </w:r>
    </w:p>
    <w:p w14:paraId="28CA38CF" w14:textId="77777777" w:rsidR="00A85AC5" w:rsidRPr="00527059" w:rsidRDefault="00A85AC5" w:rsidP="00A85AC5">
      <w:pPr>
        <w:numPr>
          <w:ilvl w:val="1"/>
          <w:numId w:val="2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The proposed detailed documentation and frequent evaluations are not in line with CMS’s focus on reducing administrative burdens.</w:t>
      </w:r>
    </w:p>
    <w:p w14:paraId="70F22D4B" w14:textId="77777777" w:rsidR="00A85AC5" w:rsidRPr="00527059" w:rsidRDefault="00A85AC5" w:rsidP="00A85AC5">
      <w:pPr>
        <w:numPr>
          <w:ilvl w:val="1"/>
          <w:numId w:val="22"/>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Eliminate the excessive requirements for nurse-delegated task documentation and evaluations to align with CMS’s emphasis on easing administrative burdens.</w:t>
      </w:r>
    </w:p>
    <w:p w14:paraId="15C09D1F" w14:textId="77777777" w:rsidR="00A85AC5" w:rsidRPr="00527059" w:rsidRDefault="00A85AC5" w:rsidP="00A85AC5">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Documentation Requirements for Specific Start and End Times</w:t>
      </w:r>
    </w:p>
    <w:p w14:paraId="19585FF1" w14:textId="77777777" w:rsidR="00A85AC5" w:rsidRPr="00527059" w:rsidRDefault="00A85AC5" w:rsidP="00A85AC5">
      <w:pPr>
        <w:numPr>
          <w:ilvl w:val="0"/>
          <w:numId w:val="2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Proposed in Texas:</w:t>
      </w:r>
      <w:r w:rsidRPr="00527059">
        <w:rPr>
          <w:rFonts w:asciiTheme="minorHAnsi" w:eastAsia="Times New Roman" w:hAnsiTheme="minorHAnsi" w:cstheme="minorHAnsi"/>
          <w:kern w:val="0"/>
          <w:sz w:val="24"/>
          <w14:ligatures w14:val="none"/>
        </w:rPr>
        <w:t xml:space="preserve"> Requirement for documenting specific start and end times for each PCS activity.</w:t>
      </w:r>
    </w:p>
    <w:p w14:paraId="6E65646F" w14:textId="77777777" w:rsidR="00A85AC5" w:rsidRPr="00527059" w:rsidRDefault="00A85AC5" w:rsidP="00A85AC5">
      <w:pPr>
        <w:numPr>
          <w:ilvl w:val="0"/>
          <w:numId w:val="2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Federal Guidance:</w:t>
      </w:r>
      <w:r w:rsidRPr="00527059">
        <w:rPr>
          <w:rFonts w:asciiTheme="minorHAnsi" w:eastAsia="Times New Roman" w:hAnsiTheme="minorHAnsi" w:cstheme="minorHAnsi"/>
          <w:kern w:val="0"/>
          <w:sz w:val="24"/>
          <w14:ligatures w14:val="none"/>
        </w:rPr>
        <w:t xml:space="preserve"> The CMS guide encourages documentation flexibilities to ease administrative burdens (page 94).</w:t>
      </w:r>
    </w:p>
    <w:p w14:paraId="42CAE5E5" w14:textId="77777777" w:rsidR="00A85AC5" w:rsidRPr="00527059" w:rsidRDefault="00A85AC5" w:rsidP="00A85AC5">
      <w:pPr>
        <w:numPr>
          <w:ilvl w:val="1"/>
          <w:numId w:val="2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lastRenderedPageBreak/>
        <w:t>Issue:</w:t>
      </w:r>
      <w:r w:rsidRPr="00527059">
        <w:rPr>
          <w:rFonts w:asciiTheme="minorHAnsi" w:eastAsia="Times New Roman" w:hAnsiTheme="minorHAnsi" w:cstheme="minorHAnsi"/>
          <w:kern w:val="0"/>
          <w:sz w:val="24"/>
          <w14:ligatures w14:val="none"/>
        </w:rPr>
        <w:t xml:space="preserve"> Requiring specific start and end times for each activity is impractical and contradicts the CMS recommendation for documentation flexibility.</w:t>
      </w:r>
    </w:p>
    <w:p w14:paraId="7CE2477F" w14:textId="77777777" w:rsidR="00A85AC5" w:rsidRPr="00527059" w:rsidRDefault="00A85AC5" w:rsidP="00A85AC5">
      <w:pPr>
        <w:numPr>
          <w:ilvl w:val="1"/>
          <w:numId w:val="23"/>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Remove the requirement for specific start and end times to streamline documentation processes and align with CMS’s recommendations.</w:t>
      </w:r>
    </w:p>
    <w:p w14:paraId="3CA6DAB5" w14:textId="77777777" w:rsidR="00A85AC5" w:rsidRPr="00527059" w:rsidRDefault="00A85AC5" w:rsidP="00A85AC5">
      <w:pPr>
        <w:spacing w:before="100" w:beforeAutospacing="1" w:after="100" w:afterAutospacing="1"/>
        <w:outlineLvl w:val="4"/>
        <w:rPr>
          <w:rFonts w:asciiTheme="minorHAnsi" w:eastAsia="Times New Roman" w:hAnsiTheme="minorHAnsi" w:cstheme="minorHAnsi"/>
          <w:b/>
          <w:bCs/>
          <w:kern w:val="0"/>
          <w:sz w:val="20"/>
          <w:szCs w:val="20"/>
          <w14:ligatures w14:val="none"/>
        </w:rPr>
      </w:pPr>
      <w:r w:rsidRPr="00527059">
        <w:rPr>
          <w:rFonts w:asciiTheme="minorHAnsi" w:eastAsia="Times New Roman" w:hAnsiTheme="minorHAnsi" w:cstheme="minorHAnsi"/>
          <w:b/>
          <w:bCs/>
          <w:kern w:val="0"/>
          <w:sz w:val="20"/>
          <w:szCs w:val="20"/>
          <w14:ligatures w14:val="none"/>
        </w:rPr>
        <w:t>Prohibition of Group PCS Billing</w:t>
      </w:r>
    </w:p>
    <w:p w14:paraId="68211D21" w14:textId="77777777" w:rsidR="00A85AC5" w:rsidRPr="00527059" w:rsidRDefault="00A85AC5" w:rsidP="00A85AC5">
      <w:pPr>
        <w:numPr>
          <w:ilvl w:val="0"/>
          <w:numId w:val="2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Proposed in Texas:</w:t>
      </w:r>
      <w:r w:rsidRPr="00527059">
        <w:rPr>
          <w:rFonts w:asciiTheme="minorHAnsi" w:eastAsia="Times New Roman" w:hAnsiTheme="minorHAnsi" w:cstheme="minorHAnsi"/>
          <w:kern w:val="0"/>
          <w:sz w:val="24"/>
          <w14:ligatures w14:val="none"/>
        </w:rPr>
        <w:t xml:space="preserve"> Prohibition of billing for group PCS services.</w:t>
      </w:r>
    </w:p>
    <w:p w14:paraId="596770D9" w14:textId="77777777" w:rsidR="00A85AC5" w:rsidRPr="00527059" w:rsidRDefault="00A85AC5" w:rsidP="00A85AC5">
      <w:pPr>
        <w:numPr>
          <w:ilvl w:val="0"/>
          <w:numId w:val="2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Federal Guidance:</w:t>
      </w:r>
      <w:r w:rsidRPr="00527059">
        <w:rPr>
          <w:rFonts w:asciiTheme="minorHAnsi" w:eastAsia="Times New Roman" w:hAnsiTheme="minorHAnsi" w:cstheme="minorHAnsi"/>
          <w:kern w:val="0"/>
          <w:sz w:val="24"/>
          <w14:ligatures w14:val="none"/>
        </w:rPr>
        <w:t xml:space="preserve"> The CMS guide supports flexible billing methodologies, including interim payments and bundled rates (pages 8, 44).</w:t>
      </w:r>
    </w:p>
    <w:p w14:paraId="70612A51" w14:textId="77777777" w:rsidR="00A85AC5" w:rsidRPr="00527059" w:rsidRDefault="00A85AC5" w:rsidP="00A85AC5">
      <w:pPr>
        <w:numPr>
          <w:ilvl w:val="1"/>
          <w:numId w:val="2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Issue:</w:t>
      </w:r>
      <w:r w:rsidRPr="00527059">
        <w:rPr>
          <w:rFonts w:asciiTheme="minorHAnsi" w:eastAsia="Times New Roman" w:hAnsiTheme="minorHAnsi" w:cstheme="minorHAnsi"/>
          <w:kern w:val="0"/>
          <w:sz w:val="24"/>
          <w14:ligatures w14:val="none"/>
        </w:rPr>
        <w:t xml:space="preserve"> Prohibiting group PCS billing contradicts CMS’s recommendations for flexibility in billing methodologies.</w:t>
      </w:r>
    </w:p>
    <w:p w14:paraId="5AA15E6F" w14:textId="77777777" w:rsidR="00A85AC5" w:rsidRPr="00527059" w:rsidRDefault="00A85AC5" w:rsidP="00A85AC5">
      <w:pPr>
        <w:numPr>
          <w:ilvl w:val="1"/>
          <w:numId w:val="25"/>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Maintain the current policy allowing group PCS billing to reflect staffing realities and ensure flexibility in service provision, as supported by CMS guidelines.</w:t>
      </w:r>
    </w:p>
    <w:p w14:paraId="7BB0AFA6" w14:textId="77777777" w:rsidR="00A85AC5" w:rsidRPr="00527059" w:rsidRDefault="00A85AC5" w:rsidP="00A85AC5">
      <w:pPr>
        <w:spacing w:before="100" w:beforeAutospacing="1" w:after="100" w:afterAutospacing="1"/>
        <w:outlineLvl w:val="3"/>
        <w:rPr>
          <w:rFonts w:asciiTheme="minorHAnsi" w:eastAsia="Times New Roman" w:hAnsiTheme="minorHAnsi" w:cstheme="minorHAnsi"/>
          <w:b/>
          <w:bCs/>
          <w:kern w:val="0"/>
          <w:sz w:val="24"/>
          <w14:ligatures w14:val="none"/>
        </w:rPr>
      </w:pPr>
      <w:r w:rsidRPr="00527059">
        <w:rPr>
          <w:rFonts w:asciiTheme="minorHAnsi" w:eastAsia="Times New Roman" w:hAnsiTheme="minorHAnsi" w:cstheme="minorHAnsi"/>
          <w:b/>
          <w:bCs/>
          <w:kern w:val="0"/>
          <w:sz w:val="24"/>
          <w14:ligatures w14:val="none"/>
        </w:rPr>
        <w:t>Conclusion and Recommendations</w:t>
      </w:r>
    </w:p>
    <w:p w14:paraId="444F5FA7" w14:textId="77777777" w:rsidR="00A85AC5" w:rsidRPr="00527059" w:rsidRDefault="00A85AC5" w:rsidP="00A85AC5">
      <w:p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By eliminating these proposed changes that lack support in federal guidelines, Texas can better align its SHARS policy with successful and practical models recommended by CMS. Specifically:</w:t>
      </w:r>
    </w:p>
    <w:p w14:paraId="34155652" w14:textId="77777777" w:rsidR="00A85AC5" w:rsidRPr="00527059" w:rsidRDefault="00A85AC5" w:rsidP="00A85AC5">
      <w:pPr>
        <w:numPr>
          <w:ilvl w:val="0"/>
          <w:numId w:val="2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Nurse-Delegated Tasks:</w:t>
      </w:r>
    </w:p>
    <w:p w14:paraId="319D5AA9" w14:textId="77777777" w:rsidR="00A85AC5" w:rsidRPr="00527059" w:rsidRDefault="00A85AC5" w:rsidP="00A85AC5">
      <w:pPr>
        <w:numPr>
          <w:ilvl w:val="1"/>
          <w:numId w:val="2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Eliminate the excessive requirements for frequent evaluations and detailed documentation, aligning with the CMS’s emphasis on reducing administrative burdens (page 7).</w:t>
      </w:r>
    </w:p>
    <w:p w14:paraId="7CABDB2F" w14:textId="77777777" w:rsidR="00A85AC5" w:rsidRPr="00527059" w:rsidRDefault="00A85AC5" w:rsidP="00A85AC5">
      <w:pPr>
        <w:numPr>
          <w:ilvl w:val="0"/>
          <w:numId w:val="2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Documentation Requirements:</w:t>
      </w:r>
    </w:p>
    <w:p w14:paraId="68049973" w14:textId="77777777" w:rsidR="00A85AC5" w:rsidRPr="00527059" w:rsidRDefault="00A85AC5" w:rsidP="00A85AC5">
      <w:pPr>
        <w:numPr>
          <w:ilvl w:val="1"/>
          <w:numId w:val="2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Remove the requirement for specific start and end times to streamline documentation processes and avoid overburdening school staff, as recommended by CMS (page 94).</w:t>
      </w:r>
    </w:p>
    <w:p w14:paraId="4F0944C1" w14:textId="77777777" w:rsidR="00A85AC5" w:rsidRPr="00527059" w:rsidRDefault="00A85AC5" w:rsidP="00A85AC5">
      <w:pPr>
        <w:numPr>
          <w:ilvl w:val="0"/>
          <w:numId w:val="2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Group PCS Billing:</w:t>
      </w:r>
    </w:p>
    <w:p w14:paraId="319F929B" w14:textId="77777777" w:rsidR="00A85AC5" w:rsidRPr="00527059" w:rsidRDefault="00A85AC5" w:rsidP="00A85AC5">
      <w:pPr>
        <w:numPr>
          <w:ilvl w:val="1"/>
          <w:numId w:val="26"/>
        </w:num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b/>
          <w:bCs/>
          <w:kern w:val="0"/>
          <w:sz w:val="24"/>
          <w14:ligatures w14:val="none"/>
        </w:rPr>
        <w:t>Recommendation:</w:t>
      </w:r>
      <w:r w:rsidRPr="00527059">
        <w:rPr>
          <w:rFonts w:asciiTheme="minorHAnsi" w:eastAsia="Times New Roman" w:hAnsiTheme="minorHAnsi" w:cstheme="minorHAnsi"/>
          <w:kern w:val="0"/>
          <w:sz w:val="24"/>
          <w14:ligatures w14:val="none"/>
        </w:rPr>
        <w:t xml:space="preserve"> Maintain the current policy allowing group PCS billing to reflect staffing realities and ensure flexibility in service provision, in accordance with CMS guidelines (pages 8, 44).</w:t>
      </w:r>
    </w:p>
    <w:p w14:paraId="4B86C8FA" w14:textId="77777777" w:rsidR="00192ED4" w:rsidRPr="00192ED4" w:rsidRDefault="00192ED4" w:rsidP="00192ED4">
      <w:pPr>
        <w:spacing w:before="100" w:beforeAutospacing="1" w:after="100" w:afterAutospacing="1"/>
        <w:rPr>
          <w:rFonts w:asciiTheme="minorHAnsi" w:eastAsia="Times New Roman" w:hAnsiTheme="minorHAnsi" w:cstheme="minorHAnsi"/>
          <w:kern w:val="0"/>
          <w:sz w:val="24"/>
          <w14:ligatures w14:val="none"/>
        </w:rPr>
      </w:pPr>
      <w:r w:rsidRPr="00192ED4">
        <w:rPr>
          <w:rFonts w:asciiTheme="minorHAnsi" w:eastAsia="Times New Roman" w:hAnsiTheme="minorHAnsi" w:cstheme="minorHAnsi"/>
          <w:kern w:val="0"/>
          <w:sz w:val="24"/>
          <w14:ligatures w14:val="none"/>
        </w:rPr>
        <w:t>By addressing these concerns and aligning the proposed SHARS policy changes with both federal guidelines and best practices observed in other states, Texas can enhance the effectiveness and efficiency of its program. Ensuring that these revisions are practical, flexible, and supportive of the actual needs of students and school staff will facilitate smoother implementation and reduce the administrative burden on districts.</w:t>
      </w:r>
    </w:p>
    <w:p w14:paraId="54563602" w14:textId="30890211" w:rsidR="007012E5" w:rsidRPr="007012E5" w:rsidRDefault="00A27D76" w:rsidP="007012E5">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527059">
        <w:rPr>
          <w:rFonts w:asciiTheme="minorHAnsi" w:eastAsia="Times New Roman" w:hAnsiTheme="minorHAnsi" w:cstheme="minorHAnsi"/>
          <w:b/>
          <w:bCs/>
          <w:kern w:val="0"/>
          <w:sz w:val="27"/>
          <w:szCs w:val="27"/>
          <w14:ligatures w14:val="none"/>
        </w:rPr>
        <w:t xml:space="preserve">Overall </w:t>
      </w:r>
      <w:r w:rsidR="007012E5" w:rsidRPr="007012E5">
        <w:rPr>
          <w:rFonts w:asciiTheme="minorHAnsi" w:eastAsia="Times New Roman" w:hAnsiTheme="minorHAnsi" w:cstheme="minorHAnsi"/>
          <w:b/>
          <w:bCs/>
          <w:kern w:val="0"/>
          <w:sz w:val="27"/>
          <w:szCs w:val="27"/>
          <w14:ligatures w14:val="none"/>
        </w:rPr>
        <w:t>Conclusion and Recommendations</w:t>
      </w:r>
    </w:p>
    <w:p w14:paraId="0A62CBB0" w14:textId="77777777" w:rsidR="007012E5" w:rsidRPr="007012E5" w:rsidRDefault="007012E5" w:rsidP="007012E5">
      <w:p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lastRenderedPageBreak/>
        <w:t>By addressing these concerns and aligning the proposed SHARS policy changes with both federal guidelines and best practices observed in other states, Texas can enhance the effectiveness and efficiency of its program. Ensuring that these revisions are practical, flexible, and supportive of the actual needs of students and school staff will facilitate smoother implementation and reduce the administrative burden on districts.</w:t>
      </w:r>
    </w:p>
    <w:p w14:paraId="0B2CD411" w14:textId="65D9644A" w:rsidR="007012E5" w:rsidRPr="007012E5" w:rsidRDefault="00527059" w:rsidP="007012E5">
      <w:pPr>
        <w:spacing w:before="100" w:beforeAutospacing="1" w:after="100" w:afterAutospacing="1"/>
        <w:rPr>
          <w:rFonts w:asciiTheme="minorHAnsi" w:eastAsia="Times New Roman" w:hAnsiTheme="minorHAnsi" w:cstheme="minorHAnsi"/>
          <w:kern w:val="0"/>
          <w:sz w:val="24"/>
          <w14:ligatures w14:val="none"/>
        </w:rPr>
      </w:pPr>
      <w:r>
        <w:rPr>
          <w:rFonts w:asciiTheme="minorHAnsi" w:eastAsia="Times New Roman" w:hAnsiTheme="minorHAnsi" w:cstheme="minorHAnsi"/>
          <w:b/>
          <w:bCs/>
          <w:kern w:val="0"/>
          <w:sz w:val="24"/>
          <w14:ligatures w14:val="none"/>
        </w:rPr>
        <w:t xml:space="preserve">Overall </w:t>
      </w:r>
      <w:r w:rsidR="007012E5" w:rsidRPr="007012E5">
        <w:rPr>
          <w:rFonts w:asciiTheme="minorHAnsi" w:eastAsia="Times New Roman" w:hAnsiTheme="minorHAnsi" w:cstheme="minorHAnsi"/>
          <w:b/>
          <w:bCs/>
          <w:kern w:val="0"/>
          <w:sz w:val="24"/>
          <w14:ligatures w14:val="none"/>
        </w:rPr>
        <w:t>Key Recommendations:</w:t>
      </w:r>
    </w:p>
    <w:p w14:paraId="51D03B55"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Implementation and Compliance:</w:t>
      </w:r>
    </w:p>
    <w:p w14:paraId="3C811DB2"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Maintain streamlined processes as emphasized in the current SHARS Handbook and the federal guide to ensure practical implementation.</w:t>
      </w:r>
    </w:p>
    <w:p w14:paraId="405D0C22"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Training and Competency Verification:</w:t>
      </w:r>
    </w:p>
    <w:p w14:paraId="4CA73F5B"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Align training and competency guidelines with federal recommendations to avoid unnecessary administrative tasks.</w:t>
      </w:r>
    </w:p>
    <w:p w14:paraId="47365914"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Nurse-Delegated Tasks:</w:t>
      </w:r>
    </w:p>
    <w:p w14:paraId="0B043800"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Eliminate the excessive requirements for frequent evaluations and detailed documentation, aligning with CMS’s emphasis on reducing administrative burdens (page 7).</w:t>
      </w:r>
    </w:p>
    <w:p w14:paraId="3BE50269"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Definition of PCS and Requirements:</w:t>
      </w:r>
    </w:p>
    <w:p w14:paraId="5B9A48A4"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Ensure clear definitions and comprehensive inclusion of functional, cognitive, and behavioral limitations.</w:t>
      </w:r>
    </w:p>
    <w:p w14:paraId="48E194E4"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ADLs and IADLs:</w:t>
      </w:r>
    </w:p>
    <w:p w14:paraId="1119DC74"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Include a broader range of activities and ensure flexibility and inclusivity.</w:t>
      </w:r>
    </w:p>
    <w:p w14:paraId="282AF7A7"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Group PCS Billing:</w:t>
      </w:r>
    </w:p>
    <w:p w14:paraId="136B8D46"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Maintain the current policy allowing group PCS billing to reflect staffing realities and ensure flexibility in service provision, in accordance with CMS guidelines (pages 8, 44).</w:t>
      </w:r>
    </w:p>
    <w:p w14:paraId="20177479"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Documentation Requirements:</w:t>
      </w:r>
    </w:p>
    <w:p w14:paraId="3EDC08B8"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Remove the requirement for specific start and end times to streamline documentation processes and avoid overburdening school staff, as recommended by CMS (page 94).</w:t>
      </w:r>
    </w:p>
    <w:p w14:paraId="1A474E9E"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Interim Claiming and Timed Units:</w:t>
      </w:r>
    </w:p>
    <w:p w14:paraId="3C9FB9B9"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Implement practical billing practices that align with current policies and federal guidelines to avoid punitive measures.</w:t>
      </w:r>
    </w:p>
    <w:p w14:paraId="56A4BC22"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Involve Multiple Stakeholders:</w:t>
      </w:r>
    </w:p>
    <w:p w14:paraId="08D23A99" w14:textId="3DA432C5"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The policy change process should involve multiple stakeholders</w:t>
      </w:r>
      <w:r w:rsidR="00527059" w:rsidRPr="00527059">
        <w:rPr>
          <w:rFonts w:asciiTheme="minorHAnsi" w:eastAsia="Times New Roman" w:hAnsiTheme="minorHAnsi" w:cstheme="minorHAnsi"/>
          <w:kern w:val="0"/>
          <w:sz w:val="24"/>
          <w14:ligatures w14:val="none"/>
        </w:rPr>
        <w:t xml:space="preserve"> in an advisory group</w:t>
      </w:r>
      <w:r w:rsidRPr="007012E5">
        <w:rPr>
          <w:rFonts w:asciiTheme="minorHAnsi" w:eastAsia="Times New Roman" w:hAnsiTheme="minorHAnsi" w:cstheme="minorHAnsi"/>
          <w:kern w:val="0"/>
          <w:sz w:val="24"/>
          <w14:ligatures w14:val="none"/>
        </w:rPr>
        <w:t>, including school districts, vendors, associations, and parents, aligning with federal recommendations for collaboration and stakeholder involvement.</w:t>
      </w:r>
    </w:p>
    <w:p w14:paraId="041EB5AF"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Trust in Licensed Staff’s Judgment:</w:t>
      </w:r>
    </w:p>
    <w:p w14:paraId="292CB399"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Minimize additional requirements for nurse-delegated tasks to avoid undue burdens. Trust in the judgment of licensed staff and reduce administrative burden.</w:t>
      </w:r>
    </w:p>
    <w:p w14:paraId="32F2B0D3"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Ensure Comprehensive Service Provision:</w:t>
      </w:r>
    </w:p>
    <w:p w14:paraId="237669FE"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Include a broader range of functional skills in PCS reimbursement. Align service provision with federal guidelines for inclusivity.</w:t>
      </w:r>
    </w:p>
    <w:p w14:paraId="10CCF8DD" w14:textId="77777777" w:rsidR="007012E5" w:rsidRPr="007012E5" w:rsidRDefault="007012E5" w:rsidP="007012E5">
      <w:pPr>
        <w:numPr>
          <w:ilvl w:val="0"/>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lastRenderedPageBreak/>
        <w:t>Avoid Impractical Standards:</w:t>
      </w:r>
    </w:p>
    <w:p w14:paraId="2273E39E" w14:textId="77777777" w:rsidR="007012E5" w:rsidRPr="007012E5" w:rsidRDefault="007012E5" w:rsidP="007012E5">
      <w:pPr>
        <w:numPr>
          <w:ilvl w:val="1"/>
          <w:numId w:val="30"/>
        </w:num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Documentation requirements should be practical and not overburden school staff. Group PCS billing should be maintained to reflect staffing realities and avoid undue stress.</w:t>
      </w:r>
    </w:p>
    <w:p w14:paraId="52EFFA1E" w14:textId="77777777" w:rsidR="007012E5" w:rsidRPr="007012E5" w:rsidRDefault="007012E5" w:rsidP="007012E5">
      <w:p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b/>
          <w:bCs/>
          <w:kern w:val="0"/>
          <w:sz w:val="24"/>
          <w14:ligatures w14:val="none"/>
        </w:rPr>
        <w:t>Summary:</w:t>
      </w:r>
    </w:p>
    <w:p w14:paraId="5B5B22F2" w14:textId="77777777" w:rsidR="007012E5" w:rsidRPr="007012E5" w:rsidRDefault="007012E5" w:rsidP="007012E5">
      <w:p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By adopting these recommendations, Texas can maintain a high standard of care for students requiring personal care services while also ensuring compliance with federal guidelines. This approach will support school districts in delivering essential services without unnecessary complexity, allowing them to focus more on the needs of their students.</w:t>
      </w:r>
    </w:p>
    <w:p w14:paraId="525873C8" w14:textId="77777777" w:rsidR="007012E5" w:rsidRPr="007012E5" w:rsidRDefault="007012E5" w:rsidP="007012E5">
      <w:pPr>
        <w:spacing w:before="100" w:beforeAutospacing="1" w:after="100" w:afterAutospacing="1"/>
        <w:rPr>
          <w:rFonts w:asciiTheme="minorHAnsi" w:eastAsia="Times New Roman" w:hAnsiTheme="minorHAnsi" w:cstheme="minorHAnsi"/>
          <w:kern w:val="0"/>
          <w:sz w:val="24"/>
          <w14:ligatures w14:val="none"/>
        </w:rPr>
      </w:pPr>
      <w:r w:rsidRPr="007012E5">
        <w:rPr>
          <w:rFonts w:asciiTheme="minorHAnsi" w:eastAsia="Times New Roman" w:hAnsiTheme="minorHAnsi" w:cstheme="minorHAnsi"/>
          <w:kern w:val="0"/>
          <w:sz w:val="24"/>
          <w14:ligatures w14:val="none"/>
        </w:rPr>
        <w:t>By carefully considering the feedback and research presented, Texas can move forward with a SHARS policy that is both practical and aligned with successful models, ensuring that all stakeholders—students, families, school staff, and administrators—benefit from a well-structured and effective program. This comprehensive overview provides a clear understanding of the key issues and actionable steps, paving the way for a robust and responsive SHARS program.</w:t>
      </w:r>
    </w:p>
    <w:p w14:paraId="0E86DB85" w14:textId="77777777" w:rsidR="007012E5" w:rsidRDefault="007012E5" w:rsidP="00192ED4">
      <w:pPr>
        <w:spacing w:before="100" w:beforeAutospacing="1" w:after="100" w:afterAutospacing="1"/>
        <w:rPr>
          <w:rFonts w:asciiTheme="minorHAnsi" w:eastAsia="Times New Roman" w:hAnsiTheme="minorHAnsi" w:cstheme="minorHAnsi"/>
          <w:kern w:val="0"/>
          <w:sz w:val="24"/>
          <w14:ligatures w14:val="none"/>
        </w:rPr>
      </w:pPr>
    </w:p>
    <w:p w14:paraId="3A9D2E71" w14:textId="77777777" w:rsidR="0052705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78FEC74E" w14:textId="77777777" w:rsidR="0052705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2F204F9A" w14:textId="77777777" w:rsidR="0052705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17733811" w14:textId="77777777" w:rsidR="0052705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757C8BF7" w14:textId="77777777" w:rsidR="0052705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4E6F8592" w14:textId="77777777" w:rsidR="00527059"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42CCB80F" w14:textId="77777777" w:rsidR="00527059" w:rsidRPr="00192ED4" w:rsidRDefault="00527059" w:rsidP="00192ED4">
      <w:pPr>
        <w:spacing w:before="100" w:beforeAutospacing="1" w:after="100" w:afterAutospacing="1"/>
        <w:rPr>
          <w:rFonts w:asciiTheme="minorHAnsi" w:eastAsia="Times New Roman" w:hAnsiTheme="minorHAnsi" w:cstheme="minorHAnsi"/>
          <w:kern w:val="0"/>
          <w:sz w:val="24"/>
          <w14:ligatures w14:val="none"/>
        </w:rPr>
      </w:pPr>
    </w:p>
    <w:p w14:paraId="0F02500E" w14:textId="77777777" w:rsidR="009A1D25" w:rsidRPr="00527059" w:rsidRDefault="000368CD" w:rsidP="00623360">
      <w:pPr>
        <w:spacing w:before="100" w:beforeAutospacing="1" w:after="100" w:afterAutospacing="1"/>
        <w:rPr>
          <w:rFonts w:asciiTheme="minorHAnsi" w:eastAsia="Times New Roman" w:hAnsiTheme="minorHAnsi" w:cstheme="minorHAnsi"/>
          <w:kern w:val="0"/>
          <w:sz w:val="24"/>
          <w14:ligatures w14:val="none"/>
        </w:rPr>
      </w:pPr>
      <w:r w:rsidRPr="00527059">
        <w:rPr>
          <w:rFonts w:asciiTheme="minorHAnsi" w:eastAsia="Times New Roman" w:hAnsiTheme="minorHAnsi" w:cstheme="minorHAnsi"/>
          <w:kern w:val="0"/>
          <w:sz w:val="24"/>
          <w14:ligatures w14:val="none"/>
        </w:rPr>
        <w:t xml:space="preserve">Questions may be directed to HHSC SHARS staff or TASB School Medicaid Services Division Director, Dr. Karlyn Keller at </w:t>
      </w:r>
      <w:hyperlink r:id="rId10" w:history="1">
        <w:r w:rsidR="009A1D25" w:rsidRPr="00527059">
          <w:rPr>
            <w:rStyle w:val="Hyperlink"/>
            <w:rFonts w:asciiTheme="minorHAnsi" w:eastAsia="Times New Roman" w:hAnsiTheme="minorHAnsi" w:cstheme="minorHAnsi"/>
            <w:kern w:val="0"/>
            <w:sz w:val="24"/>
            <w14:ligatures w14:val="none"/>
          </w:rPr>
          <w:t>karlyn.keller@tasb.org</w:t>
        </w:r>
      </w:hyperlink>
      <w:r w:rsidRPr="00527059">
        <w:rPr>
          <w:rFonts w:asciiTheme="minorHAnsi" w:eastAsia="Times New Roman" w:hAnsiTheme="minorHAnsi" w:cstheme="minorHAnsi"/>
          <w:kern w:val="0"/>
          <w:sz w:val="24"/>
          <w14:ligatures w14:val="none"/>
        </w:rPr>
        <w:t>.</w:t>
      </w:r>
    </w:p>
    <w:p w14:paraId="50CD3D94" w14:textId="3789C5E9" w:rsidR="006C58DC" w:rsidRPr="00527059" w:rsidRDefault="000368CD" w:rsidP="00623360">
      <w:pPr>
        <w:spacing w:before="100" w:beforeAutospacing="1" w:after="100" w:afterAutospacing="1"/>
        <w:rPr>
          <w:rFonts w:asciiTheme="minorHAnsi" w:hAnsiTheme="minorHAnsi" w:cstheme="minorHAnsi"/>
          <w:sz w:val="14"/>
          <w:szCs w:val="16"/>
        </w:rPr>
      </w:pPr>
      <w:r w:rsidRPr="00527059">
        <w:rPr>
          <w:rFonts w:asciiTheme="minorHAnsi" w:eastAsia="Times New Roman" w:hAnsiTheme="minorHAnsi" w:cstheme="minorHAnsi"/>
          <w:kern w:val="0"/>
          <w:sz w:val="12"/>
          <w:szCs w:val="12"/>
          <w14:ligatures w14:val="none"/>
        </w:rPr>
        <w:t>This information is provided for educational purposes only to facilitate a general understanding of the law or other regulatory ma</w:t>
      </w:r>
      <w:r w:rsidR="009F4E4D">
        <w:rPr>
          <w:rFonts w:asciiTheme="minorHAnsi" w:eastAsia="Times New Roman" w:hAnsiTheme="minorHAnsi" w:cstheme="minorHAnsi"/>
          <w:kern w:val="0"/>
          <w:sz w:val="12"/>
          <w:szCs w:val="12"/>
          <w14:ligatures w14:val="none"/>
        </w:rPr>
        <w:t>t</w:t>
      </w:r>
      <w:r w:rsidRPr="00527059">
        <w:rPr>
          <w:rFonts w:asciiTheme="minorHAnsi" w:eastAsia="Times New Roman" w:hAnsiTheme="minorHAnsi" w:cstheme="minorHAnsi"/>
          <w:kern w:val="0"/>
          <w:sz w:val="12"/>
          <w:szCs w:val="12"/>
          <w14:ligatures w14:val="none"/>
        </w:rPr>
        <w:t>ter. This information is neither an exhaustive treatment on the subject nor is this intended to substitute for the advice of an attorney or other professional advisor. Consult with your attorney or professional advisor to apply these principles to specific fact situations.</w:t>
      </w:r>
    </w:p>
    <w:sectPr w:rsidR="006C58DC" w:rsidRPr="00527059" w:rsidSect="00A1009E">
      <w:headerReference w:type="default" r:id="rId11"/>
      <w:footerReference w:type="default" r:id="rId12"/>
      <w:headerReference w:type="first" r:id="rId13"/>
      <w:footerReference w:type="first" r:id="rId14"/>
      <w:pgSz w:w="12240" w:h="15840"/>
      <w:pgMar w:top="1598" w:right="1080" w:bottom="1444" w:left="1080" w:header="605" w:footer="12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A2E71" w14:textId="77777777" w:rsidR="004B65A3" w:rsidRDefault="004B65A3" w:rsidP="00805A09">
      <w:r>
        <w:separator/>
      </w:r>
    </w:p>
  </w:endnote>
  <w:endnote w:type="continuationSeparator" w:id="0">
    <w:p w14:paraId="4235488B" w14:textId="77777777" w:rsidR="004B65A3" w:rsidRDefault="004B65A3" w:rsidP="008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508369"/>
      <w:docPartObj>
        <w:docPartGallery w:val="Page Numbers (Bottom of Page)"/>
        <w:docPartUnique/>
      </w:docPartObj>
    </w:sdtPr>
    <w:sdtEndPr>
      <w:rPr>
        <w:color w:val="7F7F7F" w:themeColor="background1" w:themeShade="7F"/>
        <w:spacing w:val="60"/>
      </w:rPr>
    </w:sdtEndPr>
    <w:sdtContent>
      <w:p w14:paraId="1AD0009E" w14:textId="3DD7D5B2" w:rsidR="00623360" w:rsidRDefault="0062336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E5E64C" w14:textId="77777777" w:rsidR="00805A09" w:rsidRDefault="00805A09" w:rsidP="00805A09">
    <w:pPr>
      <w:pStyle w:val="Footer"/>
      <w:tabs>
        <w:tab w:val="clear" w:pos="9360"/>
      </w:tabs>
      <w:ind w:left="-1440" w:right="-14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90BC" w14:textId="77777777" w:rsidR="00E93CA4" w:rsidRDefault="00E93CA4">
    <w:pPr>
      <w:pStyle w:val="Footer"/>
    </w:pPr>
    <w:r>
      <w:rPr>
        <w:noProof/>
      </w:rPr>
      <w:drawing>
        <wp:anchor distT="0" distB="0" distL="114300" distR="114300" simplePos="0" relativeHeight="251658240" behindDoc="0" locked="0" layoutInCell="1" allowOverlap="1" wp14:anchorId="1374E358" wp14:editId="06425787">
          <wp:simplePos x="0" y="0"/>
          <wp:positionH relativeFrom="column">
            <wp:posOffset>-685800</wp:posOffset>
          </wp:positionH>
          <wp:positionV relativeFrom="paragraph">
            <wp:posOffset>-8111</wp:posOffset>
          </wp:positionV>
          <wp:extent cx="7772400" cy="914400"/>
          <wp:effectExtent l="0" t="0" r="0" b="0"/>
          <wp:wrapNone/>
          <wp:docPr id="111709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9209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63404" w14:textId="77777777" w:rsidR="004B65A3" w:rsidRDefault="004B65A3" w:rsidP="00805A09">
      <w:r>
        <w:separator/>
      </w:r>
    </w:p>
  </w:footnote>
  <w:footnote w:type="continuationSeparator" w:id="0">
    <w:p w14:paraId="025EBB91" w14:textId="77777777" w:rsidR="004B65A3" w:rsidRDefault="004B65A3" w:rsidP="0080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A47E" w14:textId="77777777" w:rsidR="00805A09" w:rsidRDefault="00805A09" w:rsidP="00805A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785D1" w14:textId="77777777" w:rsidR="00E93CA4" w:rsidRDefault="00E93CA4" w:rsidP="00E93CA4">
    <w:pPr>
      <w:pStyle w:val="Header"/>
      <w:jc w:val="center"/>
    </w:pPr>
    <w:r>
      <w:rPr>
        <w:noProof/>
      </w:rPr>
      <w:drawing>
        <wp:inline distT="0" distB="0" distL="0" distR="0" wp14:anchorId="46B0ABD2" wp14:editId="02BC78DA">
          <wp:extent cx="1911229" cy="384048"/>
          <wp:effectExtent l="0" t="0" r="0" b="0"/>
          <wp:docPr id="133687379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21836" name="Picture 1" descr="A logo of a company&#10;&#10;Description automatically generated"/>
                  <pic:cNvPicPr/>
                </pic:nvPicPr>
                <pic:blipFill rotWithShape="1">
                  <a:blip r:embed="rId1">
                    <a:extLst>
                      <a:ext uri="{28A0092B-C50C-407E-A947-70E740481C1C}">
                        <a14:useLocalDpi xmlns:a14="http://schemas.microsoft.com/office/drawing/2010/main" val="0"/>
                      </a:ext>
                    </a:extLst>
                  </a:blip>
                  <a:srcRect t="26473" b="26208"/>
                  <a:stretch/>
                </pic:blipFill>
                <pic:spPr bwMode="auto">
                  <a:xfrm>
                    <a:off x="0" y="0"/>
                    <a:ext cx="1911229" cy="3840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29A"/>
    <w:multiLevelType w:val="multilevel"/>
    <w:tmpl w:val="E5CE9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6436F"/>
    <w:multiLevelType w:val="multilevel"/>
    <w:tmpl w:val="811A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40E1D"/>
    <w:multiLevelType w:val="multilevel"/>
    <w:tmpl w:val="31CCB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4613D"/>
    <w:multiLevelType w:val="multilevel"/>
    <w:tmpl w:val="5B1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D2E58"/>
    <w:multiLevelType w:val="hybridMultilevel"/>
    <w:tmpl w:val="272C142E"/>
    <w:lvl w:ilvl="0" w:tplc="671620E0">
      <w:start w:val="1"/>
      <w:numFmt w:val="bullet"/>
      <w:pStyle w:val="BulletedList"/>
      <w:lvlText w:val=""/>
      <w:lvlJc w:val="left"/>
      <w:pPr>
        <w:ind w:left="720" w:hanging="360"/>
      </w:pPr>
      <w:rPr>
        <w:rFonts w:ascii="Symbol" w:hAnsi="Symbol" w:hint="default"/>
        <w:color w:val="2B7B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30198D"/>
    <w:multiLevelType w:val="multilevel"/>
    <w:tmpl w:val="D0DE5F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77959"/>
    <w:multiLevelType w:val="multilevel"/>
    <w:tmpl w:val="50E6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3573B"/>
    <w:multiLevelType w:val="multilevel"/>
    <w:tmpl w:val="606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37B53"/>
    <w:multiLevelType w:val="multilevel"/>
    <w:tmpl w:val="DF50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850BE"/>
    <w:multiLevelType w:val="multilevel"/>
    <w:tmpl w:val="9B582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E4F59"/>
    <w:multiLevelType w:val="multilevel"/>
    <w:tmpl w:val="A23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21D54"/>
    <w:multiLevelType w:val="multilevel"/>
    <w:tmpl w:val="A386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E61BD"/>
    <w:multiLevelType w:val="multilevel"/>
    <w:tmpl w:val="AA7C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12F11"/>
    <w:multiLevelType w:val="multilevel"/>
    <w:tmpl w:val="DD1A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B4BB2"/>
    <w:multiLevelType w:val="multilevel"/>
    <w:tmpl w:val="56020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A1E9C"/>
    <w:multiLevelType w:val="multilevel"/>
    <w:tmpl w:val="1F42A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9B7750"/>
    <w:multiLevelType w:val="multilevel"/>
    <w:tmpl w:val="13E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3173D"/>
    <w:multiLevelType w:val="multilevel"/>
    <w:tmpl w:val="84A8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710EA"/>
    <w:multiLevelType w:val="multilevel"/>
    <w:tmpl w:val="106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549D5"/>
    <w:multiLevelType w:val="multilevel"/>
    <w:tmpl w:val="72442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335BE"/>
    <w:multiLevelType w:val="multilevel"/>
    <w:tmpl w:val="FA7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FD0789"/>
    <w:multiLevelType w:val="multilevel"/>
    <w:tmpl w:val="815AF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A3995"/>
    <w:multiLevelType w:val="multilevel"/>
    <w:tmpl w:val="92AE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71AB0"/>
    <w:multiLevelType w:val="multilevel"/>
    <w:tmpl w:val="31EED8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AA4434"/>
    <w:multiLevelType w:val="multilevel"/>
    <w:tmpl w:val="83969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E90EE2"/>
    <w:multiLevelType w:val="multilevel"/>
    <w:tmpl w:val="3CA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01FE0"/>
    <w:multiLevelType w:val="multilevel"/>
    <w:tmpl w:val="FA0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8905D6"/>
    <w:multiLevelType w:val="multilevel"/>
    <w:tmpl w:val="1A76A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C61BCA"/>
    <w:multiLevelType w:val="multilevel"/>
    <w:tmpl w:val="81F4D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D14CFC"/>
    <w:multiLevelType w:val="multilevel"/>
    <w:tmpl w:val="278C9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139461">
    <w:abstractNumId w:val="4"/>
  </w:num>
  <w:num w:numId="2" w16cid:durableId="360782907">
    <w:abstractNumId w:val="14"/>
  </w:num>
  <w:num w:numId="3" w16cid:durableId="1627811846">
    <w:abstractNumId w:val="13"/>
  </w:num>
  <w:num w:numId="4" w16cid:durableId="1900509442">
    <w:abstractNumId w:val="25"/>
  </w:num>
  <w:num w:numId="5" w16cid:durableId="956914477">
    <w:abstractNumId w:val="6"/>
  </w:num>
  <w:num w:numId="6" w16cid:durableId="2131826343">
    <w:abstractNumId w:val="10"/>
  </w:num>
  <w:num w:numId="7" w16cid:durableId="1460682910">
    <w:abstractNumId w:val="12"/>
  </w:num>
  <w:num w:numId="8" w16cid:durableId="722950505">
    <w:abstractNumId w:val="11"/>
  </w:num>
  <w:num w:numId="9" w16cid:durableId="871766265">
    <w:abstractNumId w:val="18"/>
  </w:num>
  <w:num w:numId="10" w16cid:durableId="777796770">
    <w:abstractNumId w:val="15"/>
  </w:num>
  <w:num w:numId="11" w16cid:durableId="1897424465">
    <w:abstractNumId w:val="19"/>
  </w:num>
  <w:num w:numId="12" w16cid:durableId="1006980022">
    <w:abstractNumId w:val="16"/>
  </w:num>
  <w:num w:numId="13" w16cid:durableId="287468263">
    <w:abstractNumId w:val="17"/>
  </w:num>
  <w:num w:numId="14" w16cid:durableId="1819492579">
    <w:abstractNumId w:val="20"/>
  </w:num>
  <w:num w:numId="15" w16cid:durableId="344787965">
    <w:abstractNumId w:val="26"/>
  </w:num>
  <w:num w:numId="16" w16cid:durableId="720446526">
    <w:abstractNumId w:val="1"/>
  </w:num>
  <w:num w:numId="17" w16cid:durableId="1808475178">
    <w:abstractNumId w:val="8"/>
  </w:num>
  <w:num w:numId="18" w16cid:durableId="417098744">
    <w:abstractNumId w:val="7"/>
  </w:num>
  <w:num w:numId="19" w16cid:durableId="993263692">
    <w:abstractNumId w:val="22"/>
  </w:num>
  <w:num w:numId="20" w16cid:durableId="659962770">
    <w:abstractNumId w:val="3"/>
  </w:num>
  <w:num w:numId="21" w16cid:durableId="1871260503">
    <w:abstractNumId w:val="0"/>
  </w:num>
  <w:num w:numId="22" w16cid:durableId="274799337">
    <w:abstractNumId w:val="27"/>
  </w:num>
  <w:num w:numId="23" w16cid:durableId="1865169632">
    <w:abstractNumId w:val="9"/>
  </w:num>
  <w:num w:numId="24" w16cid:durableId="286357514">
    <w:abstractNumId w:val="21"/>
  </w:num>
  <w:num w:numId="25" w16cid:durableId="656610431">
    <w:abstractNumId w:val="24"/>
  </w:num>
  <w:num w:numId="26" w16cid:durableId="82915459">
    <w:abstractNumId w:val="28"/>
  </w:num>
  <w:num w:numId="27" w16cid:durableId="162278294">
    <w:abstractNumId w:val="23"/>
  </w:num>
  <w:num w:numId="28" w16cid:durableId="206727190">
    <w:abstractNumId w:val="2"/>
  </w:num>
  <w:num w:numId="29" w16cid:durableId="1798793113">
    <w:abstractNumId w:val="5"/>
  </w:num>
  <w:num w:numId="30" w16cid:durableId="1295528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61"/>
    <w:rsid w:val="000368CD"/>
    <w:rsid w:val="0004078F"/>
    <w:rsid w:val="000D2D58"/>
    <w:rsid w:val="000F7BBD"/>
    <w:rsid w:val="00151044"/>
    <w:rsid w:val="0018125E"/>
    <w:rsid w:val="00192ED4"/>
    <w:rsid w:val="001A3D37"/>
    <w:rsid w:val="001C22C8"/>
    <w:rsid w:val="001C77EE"/>
    <w:rsid w:val="00287398"/>
    <w:rsid w:val="002A6B8D"/>
    <w:rsid w:val="002C01F8"/>
    <w:rsid w:val="002F0C4C"/>
    <w:rsid w:val="00301A5D"/>
    <w:rsid w:val="00317C65"/>
    <w:rsid w:val="003902C3"/>
    <w:rsid w:val="00393EFC"/>
    <w:rsid w:val="003D4429"/>
    <w:rsid w:val="003E7EF6"/>
    <w:rsid w:val="00410C23"/>
    <w:rsid w:val="00431A82"/>
    <w:rsid w:val="00455E72"/>
    <w:rsid w:val="00482304"/>
    <w:rsid w:val="004B65A3"/>
    <w:rsid w:val="00506315"/>
    <w:rsid w:val="00527059"/>
    <w:rsid w:val="00535399"/>
    <w:rsid w:val="0057496D"/>
    <w:rsid w:val="00581C33"/>
    <w:rsid w:val="005B07AC"/>
    <w:rsid w:val="005C1EA5"/>
    <w:rsid w:val="00623360"/>
    <w:rsid w:val="0064219B"/>
    <w:rsid w:val="00664C2B"/>
    <w:rsid w:val="006740A9"/>
    <w:rsid w:val="006C3EFC"/>
    <w:rsid w:val="006C58DC"/>
    <w:rsid w:val="006E6565"/>
    <w:rsid w:val="007012E5"/>
    <w:rsid w:val="00742240"/>
    <w:rsid w:val="0078428C"/>
    <w:rsid w:val="0079338F"/>
    <w:rsid w:val="007A4DE9"/>
    <w:rsid w:val="007F1358"/>
    <w:rsid w:val="00805869"/>
    <w:rsid w:val="00805A09"/>
    <w:rsid w:val="00861C60"/>
    <w:rsid w:val="008A12A7"/>
    <w:rsid w:val="008D209E"/>
    <w:rsid w:val="00926263"/>
    <w:rsid w:val="00942CF1"/>
    <w:rsid w:val="00967BA7"/>
    <w:rsid w:val="00995024"/>
    <w:rsid w:val="009A1D25"/>
    <w:rsid w:val="009B4696"/>
    <w:rsid w:val="009B6A0E"/>
    <w:rsid w:val="009B7A73"/>
    <w:rsid w:val="009C0724"/>
    <w:rsid w:val="009F4E4D"/>
    <w:rsid w:val="00A1009E"/>
    <w:rsid w:val="00A27D76"/>
    <w:rsid w:val="00A336E6"/>
    <w:rsid w:val="00A406C9"/>
    <w:rsid w:val="00A85AC5"/>
    <w:rsid w:val="00AA50CB"/>
    <w:rsid w:val="00AB7491"/>
    <w:rsid w:val="00AC42EB"/>
    <w:rsid w:val="00B11519"/>
    <w:rsid w:val="00B26BA3"/>
    <w:rsid w:val="00B57C05"/>
    <w:rsid w:val="00C12B9B"/>
    <w:rsid w:val="00C615F7"/>
    <w:rsid w:val="00C61B53"/>
    <w:rsid w:val="00C83946"/>
    <w:rsid w:val="00CA5561"/>
    <w:rsid w:val="00CA6DA0"/>
    <w:rsid w:val="00D62422"/>
    <w:rsid w:val="00D70AEB"/>
    <w:rsid w:val="00E25470"/>
    <w:rsid w:val="00E266D7"/>
    <w:rsid w:val="00E623D0"/>
    <w:rsid w:val="00E8063F"/>
    <w:rsid w:val="00E831AF"/>
    <w:rsid w:val="00E832DA"/>
    <w:rsid w:val="00E93CA4"/>
    <w:rsid w:val="00EA0062"/>
    <w:rsid w:val="00EC137D"/>
    <w:rsid w:val="00F35729"/>
    <w:rsid w:val="00F40A3B"/>
    <w:rsid w:val="00FB7F0E"/>
    <w:rsid w:val="00FD1AA2"/>
    <w:rsid w:val="00FE0440"/>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A10F2"/>
  <w15:chartTrackingRefBased/>
  <w15:docId w15:val="{9F302059-9E9B-46FF-8F45-92530A30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5D"/>
    <w:rPr>
      <w:rFonts w:ascii="Franklin Gothic Book" w:hAnsi="Franklin Gothic Book"/>
      <w:sz w:val="21"/>
    </w:rPr>
  </w:style>
  <w:style w:type="paragraph" w:styleId="Heading1">
    <w:name w:val="heading 1"/>
    <w:basedOn w:val="Normal"/>
    <w:next w:val="Normal"/>
    <w:link w:val="Heading1Char"/>
    <w:autoRedefine/>
    <w:uiPriority w:val="9"/>
    <w:qFormat/>
    <w:rsid w:val="006C58DC"/>
    <w:pPr>
      <w:keepNext/>
      <w:keepLines/>
      <w:spacing w:before="240"/>
      <w:outlineLvl w:val="0"/>
    </w:pPr>
    <w:rPr>
      <w:rFonts w:ascii="Verdana" w:eastAsiaTheme="majorEastAsia" w:hAnsi="Verdana" w:cstheme="majorBidi"/>
      <w:b/>
      <w:color w:val="2C7BBE"/>
      <w:sz w:val="28"/>
      <w:szCs w:val="32"/>
    </w:rPr>
  </w:style>
  <w:style w:type="paragraph" w:styleId="Heading2">
    <w:name w:val="heading 2"/>
    <w:basedOn w:val="Normal"/>
    <w:next w:val="Normal"/>
    <w:link w:val="Heading2Char"/>
    <w:autoRedefine/>
    <w:uiPriority w:val="9"/>
    <w:unhideWhenUsed/>
    <w:qFormat/>
    <w:rsid w:val="006C58DC"/>
    <w:pPr>
      <w:keepNext/>
      <w:keepLines/>
      <w:spacing w:before="40"/>
      <w:outlineLvl w:val="1"/>
    </w:pPr>
    <w:rPr>
      <w:rFonts w:ascii="Verdana" w:eastAsiaTheme="majorEastAsia" w:hAnsi="Verdana" w:cstheme="majorBidi"/>
      <w:b/>
      <w:color w:val="2C7BBE"/>
      <w:sz w:val="24"/>
      <w:szCs w:val="26"/>
    </w:rPr>
  </w:style>
  <w:style w:type="paragraph" w:styleId="Heading3">
    <w:name w:val="heading 3"/>
    <w:basedOn w:val="Normal"/>
    <w:next w:val="Normal"/>
    <w:link w:val="Heading3Char"/>
    <w:uiPriority w:val="9"/>
    <w:unhideWhenUsed/>
    <w:qFormat/>
    <w:rsid w:val="00301A5D"/>
    <w:pPr>
      <w:keepNext/>
      <w:keepLines/>
      <w:spacing w:before="40"/>
      <w:outlineLvl w:val="2"/>
    </w:pPr>
    <w:rPr>
      <w:rFonts w:ascii="Verdana" w:eastAsiaTheme="majorEastAsia" w:hAnsi="Verdana" w:cstheme="majorBidi"/>
      <w:bCs/>
      <w:color w:val="2C7BBE"/>
      <w:szCs w:val="21"/>
    </w:rPr>
  </w:style>
  <w:style w:type="paragraph" w:styleId="Heading4">
    <w:name w:val="heading 4"/>
    <w:basedOn w:val="Normal"/>
    <w:link w:val="Heading4Char"/>
    <w:uiPriority w:val="9"/>
    <w:qFormat/>
    <w:rsid w:val="001C22C8"/>
    <w:pPr>
      <w:spacing w:before="100" w:beforeAutospacing="1" w:after="100" w:afterAutospacing="1"/>
      <w:outlineLvl w:val="3"/>
    </w:pPr>
    <w:rPr>
      <w:rFonts w:ascii="Times New Roman" w:eastAsia="Times New Roman" w:hAnsi="Times New Roman" w:cs="Times New Roman"/>
      <w:b/>
      <w:bCs/>
      <w:kern w:val="0"/>
      <w:sz w:val="24"/>
      <w14:ligatures w14:val="none"/>
    </w:rPr>
  </w:style>
  <w:style w:type="paragraph" w:styleId="Heading5">
    <w:name w:val="heading 5"/>
    <w:basedOn w:val="Normal"/>
    <w:link w:val="Heading5Char"/>
    <w:uiPriority w:val="9"/>
    <w:qFormat/>
    <w:rsid w:val="001C22C8"/>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A09"/>
    <w:pPr>
      <w:tabs>
        <w:tab w:val="center" w:pos="4680"/>
        <w:tab w:val="right" w:pos="9360"/>
      </w:tabs>
    </w:pPr>
  </w:style>
  <w:style w:type="character" w:customStyle="1" w:styleId="HeaderChar">
    <w:name w:val="Header Char"/>
    <w:basedOn w:val="DefaultParagraphFont"/>
    <w:link w:val="Header"/>
    <w:uiPriority w:val="99"/>
    <w:rsid w:val="00805A09"/>
  </w:style>
  <w:style w:type="paragraph" w:styleId="Footer">
    <w:name w:val="footer"/>
    <w:basedOn w:val="Normal"/>
    <w:link w:val="FooterChar"/>
    <w:uiPriority w:val="99"/>
    <w:unhideWhenUsed/>
    <w:rsid w:val="00805A09"/>
    <w:pPr>
      <w:tabs>
        <w:tab w:val="center" w:pos="4680"/>
        <w:tab w:val="right" w:pos="9360"/>
      </w:tabs>
    </w:pPr>
  </w:style>
  <w:style w:type="character" w:customStyle="1" w:styleId="FooterChar">
    <w:name w:val="Footer Char"/>
    <w:basedOn w:val="DefaultParagraphFont"/>
    <w:link w:val="Footer"/>
    <w:uiPriority w:val="99"/>
    <w:rsid w:val="00805A09"/>
  </w:style>
  <w:style w:type="character" w:customStyle="1" w:styleId="Heading1Char">
    <w:name w:val="Heading 1 Char"/>
    <w:basedOn w:val="DefaultParagraphFont"/>
    <w:link w:val="Heading1"/>
    <w:uiPriority w:val="9"/>
    <w:rsid w:val="006C58DC"/>
    <w:rPr>
      <w:rFonts w:ascii="Verdana" w:eastAsiaTheme="majorEastAsia" w:hAnsi="Verdana" w:cstheme="majorBidi"/>
      <w:b/>
      <w:color w:val="2C7BBE"/>
      <w:sz w:val="28"/>
      <w:szCs w:val="32"/>
    </w:rPr>
  </w:style>
  <w:style w:type="character" w:customStyle="1" w:styleId="Heading2Char">
    <w:name w:val="Heading 2 Char"/>
    <w:basedOn w:val="DefaultParagraphFont"/>
    <w:link w:val="Heading2"/>
    <w:uiPriority w:val="9"/>
    <w:rsid w:val="006C58DC"/>
    <w:rPr>
      <w:rFonts w:ascii="Verdana" w:eastAsiaTheme="majorEastAsia" w:hAnsi="Verdana" w:cstheme="majorBidi"/>
      <w:b/>
      <w:color w:val="2C7BBE"/>
      <w:szCs w:val="26"/>
    </w:rPr>
  </w:style>
  <w:style w:type="paragraph" w:styleId="Title">
    <w:name w:val="Title"/>
    <w:basedOn w:val="Normal"/>
    <w:next w:val="Normal"/>
    <w:link w:val="TitleChar"/>
    <w:uiPriority w:val="10"/>
    <w:qFormat/>
    <w:rsid w:val="000D2D5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D2D58"/>
    <w:rPr>
      <w:rFonts w:ascii="Franklin Gothic Medium" w:eastAsiaTheme="majorEastAsia" w:hAnsi="Franklin Gothic Medium" w:cstheme="majorBidi"/>
      <w:spacing w:val="-10"/>
      <w:kern w:val="28"/>
      <w:sz w:val="56"/>
      <w:szCs w:val="56"/>
    </w:rPr>
  </w:style>
  <w:style w:type="paragraph" w:styleId="Subtitle">
    <w:name w:val="Subtitle"/>
    <w:basedOn w:val="Normal"/>
    <w:next w:val="Normal"/>
    <w:link w:val="SubtitleChar"/>
    <w:uiPriority w:val="11"/>
    <w:qFormat/>
    <w:rsid w:val="000D2D5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D2D58"/>
    <w:rPr>
      <w:rFonts w:ascii="Franklin Gothic Medium" w:eastAsiaTheme="minorEastAsia" w:hAnsi="Franklin Gothic Medium"/>
      <w:color w:val="5A5A5A" w:themeColor="text1" w:themeTint="A5"/>
      <w:spacing w:val="15"/>
      <w:sz w:val="22"/>
      <w:szCs w:val="22"/>
    </w:rPr>
  </w:style>
  <w:style w:type="character" w:styleId="SubtleEmphasis">
    <w:name w:val="Subtle Emphasis"/>
    <w:basedOn w:val="DefaultParagraphFont"/>
    <w:uiPriority w:val="19"/>
    <w:qFormat/>
    <w:rsid w:val="000D2D58"/>
    <w:rPr>
      <w:rFonts w:ascii="Franklin Gothic Medium" w:hAnsi="Franklin Gothic Medium"/>
      <w:i/>
      <w:iCs/>
      <w:color w:val="404040" w:themeColor="text1" w:themeTint="BF"/>
    </w:rPr>
  </w:style>
  <w:style w:type="character" w:styleId="Emphasis">
    <w:name w:val="Emphasis"/>
    <w:basedOn w:val="DefaultParagraphFont"/>
    <w:uiPriority w:val="20"/>
    <w:qFormat/>
    <w:rsid w:val="000D2D58"/>
    <w:rPr>
      <w:rFonts w:ascii="Franklin Gothic Medium" w:hAnsi="Franklin Gothic Medium"/>
      <w:i/>
      <w:iCs/>
    </w:rPr>
  </w:style>
  <w:style w:type="character" w:styleId="IntenseEmphasis">
    <w:name w:val="Intense Emphasis"/>
    <w:basedOn w:val="DefaultParagraphFont"/>
    <w:uiPriority w:val="21"/>
    <w:qFormat/>
    <w:rsid w:val="000D2D58"/>
    <w:rPr>
      <w:rFonts w:ascii="Franklin Gothic Medium" w:hAnsi="Franklin Gothic Medium"/>
      <w:i/>
      <w:iCs/>
      <w:color w:val="2C7BBE"/>
    </w:rPr>
  </w:style>
  <w:style w:type="character" w:styleId="Strong">
    <w:name w:val="Strong"/>
    <w:basedOn w:val="DefaultParagraphFont"/>
    <w:uiPriority w:val="22"/>
    <w:qFormat/>
    <w:rsid w:val="0018125E"/>
    <w:rPr>
      <w:rFonts w:ascii="Franklin Gothic Medium" w:hAnsi="Franklin Gothic Medium"/>
      <w:b w:val="0"/>
      <w:bCs/>
      <w:i w:val="0"/>
    </w:rPr>
  </w:style>
  <w:style w:type="character" w:styleId="SubtleReference">
    <w:name w:val="Subtle Reference"/>
    <w:basedOn w:val="DefaultParagraphFont"/>
    <w:uiPriority w:val="31"/>
    <w:qFormat/>
    <w:rsid w:val="000D2D58"/>
    <w:rPr>
      <w:rFonts w:ascii="Franklin Gothic Medium" w:hAnsi="Franklin Gothic Medium"/>
      <w:smallCaps/>
      <w:color w:val="5A5A5A" w:themeColor="text1" w:themeTint="A5"/>
    </w:rPr>
  </w:style>
  <w:style w:type="character" w:styleId="IntenseReference">
    <w:name w:val="Intense Reference"/>
    <w:basedOn w:val="DefaultParagraphFont"/>
    <w:uiPriority w:val="32"/>
    <w:qFormat/>
    <w:rsid w:val="000D2D58"/>
    <w:rPr>
      <w:rFonts w:ascii="Franklin Gothic Medium" w:hAnsi="Franklin Gothic Medium"/>
      <w:b/>
      <w:bCs/>
      <w:smallCaps/>
      <w:color w:val="2C7BBE"/>
      <w:spacing w:val="5"/>
    </w:rPr>
  </w:style>
  <w:style w:type="character" w:styleId="BookTitle">
    <w:name w:val="Book Title"/>
    <w:basedOn w:val="DefaultParagraphFont"/>
    <w:uiPriority w:val="33"/>
    <w:qFormat/>
    <w:rsid w:val="000D2D58"/>
    <w:rPr>
      <w:rFonts w:ascii="Franklin Gothic Medium" w:hAnsi="Franklin Gothic Medium"/>
      <w:b/>
      <w:bCs/>
      <w:i/>
      <w:iCs/>
      <w:spacing w:val="5"/>
    </w:rPr>
  </w:style>
  <w:style w:type="paragraph" w:styleId="NoSpacing">
    <w:name w:val="No Spacing"/>
    <w:uiPriority w:val="1"/>
    <w:qFormat/>
    <w:rsid w:val="0018125E"/>
    <w:rPr>
      <w:rFonts w:ascii="Franklin Gothic Book" w:hAnsi="Franklin Gothic Book"/>
      <w:sz w:val="21"/>
    </w:rPr>
  </w:style>
  <w:style w:type="character" w:customStyle="1" w:styleId="Heading3Char">
    <w:name w:val="Heading 3 Char"/>
    <w:basedOn w:val="DefaultParagraphFont"/>
    <w:link w:val="Heading3"/>
    <w:uiPriority w:val="9"/>
    <w:rsid w:val="00301A5D"/>
    <w:rPr>
      <w:rFonts w:ascii="Verdana" w:eastAsiaTheme="majorEastAsia" w:hAnsi="Verdana" w:cstheme="majorBidi"/>
      <w:bCs/>
      <w:color w:val="2C7BBE"/>
      <w:sz w:val="21"/>
      <w:szCs w:val="21"/>
    </w:rPr>
  </w:style>
  <w:style w:type="paragraph" w:customStyle="1" w:styleId="BulletedList">
    <w:name w:val="Bulleted List"/>
    <w:basedOn w:val="ListParagraph"/>
    <w:qFormat/>
    <w:rsid w:val="00301A5D"/>
    <w:pPr>
      <w:numPr>
        <w:numId w:val="1"/>
      </w:numPr>
      <w:tabs>
        <w:tab w:val="num" w:pos="360"/>
      </w:tabs>
      <w:ind w:firstLine="0"/>
    </w:pPr>
  </w:style>
  <w:style w:type="paragraph" w:styleId="ListParagraph">
    <w:name w:val="List Paragraph"/>
    <w:basedOn w:val="Normal"/>
    <w:uiPriority w:val="34"/>
    <w:qFormat/>
    <w:rsid w:val="00301A5D"/>
    <w:pPr>
      <w:ind w:left="720"/>
      <w:contextualSpacing/>
    </w:pPr>
  </w:style>
  <w:style w:type="character" w:customStyle="1" w:styleId="Heading4Char">
    <w:name w:val="Heading 4 Char"/>
    <w:basedOn w:val="DefaultParagraphFont"/>
    <w:link w:val="Heading4"/>
    <w:uiPriority w:val="9"/>
    <w:rsid w:val="001C22C8"/>
    <w:rPr>
      <w:rFonts w:ascii="Times New Roman" w:eastAsia="Times New Roman" w:hAnsi="Times New Roman" w:cs="Times New Roman"/>
      <w:b/>
      <w:bCs/>
      <w:kern w:val="0"/>
      <w14:ligatures w14:val="none"/>
    </w:rPr>
  </w:style>
  <w:style w:type="character" w:customStyle="1" w:styleId="Heading5Char">
    <w:name w:val="Heading 5 Char"/>
    <w:basedOn w:val="DefaultParagraphFont"/>
    <w:link w:val="Heading5"/>
    <w:uiPriority w:val="9"/>
    <w:rsid w:val="001C22C8"/>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semiHidden/>
    <w:unhideWhenUsed/>
    <w:rsid w:val="001C22C8"/>
    <w:pPr>
      <w:spacing w:before="100" w:beforeAutospacing="1" w:after="100" w:afterAutospacing="1"/>
    </w:pPr>
    <w:rPr>
      <w:rFonts w:ascii="Times New Roman" w:eastAsia="Times New Roman" w:hAnsi="Times New Roman" w:cs="Times New Roman"/>
      <w:kern w:val="0"/>
      <w:sz w:val="24"/>
      <w14:ligatures w14:val="none"/>
    </w:rPr>
  </w:style>
  <w:style w:type="character" w:styleId="Hyperlink">
    <w:name w:val="Hyperlink"/>
    <w:basedOn w:val="DefaultParagraphFont"/>
    <w:uiPriority w:val="99"/>
    <w:unhideWhenUsed/>
    <w:rsid w:val="009A1D25"/>
    <w:rPr>
      <w:color w:val="0563C1" w:themeColor="hyperlink"/>
      <w:u w:val="single"/>
    </w:rPr>
  </w:style>
  <w:style w:type="character" w:styleId="UnresolvedMention">
    <w:name w:val="Unresolved Mention"/>
    <w:basedOn w:val="DefaultParagraphFont"/>
    <w:uiPriority w:val="99"/>
    <w:semiHidden/>
    <w:unhideWhenUsed/>
    <w:rsid w:val="009A1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48002">
      <w:bodyDiv w:val="1"/>
      <w:marLeft w:val="0"/>
      <w:marRight w:val="0"/>
      <w:marTop w:val="0"/>
      <w:marBottom w:val="0"/>
      <w:divBdr>
        <w:top w:val="none" w:sz="0" w:space="0" w:color="auto"/>
        <w:left w:val="none" w:sz="0" w:space="0" w:color="auto"/>
        <w:bottom w:val="none" w:sz="0" w:space="0" w:color="auto"/>
        <w:right w:val="none" w:sz="0" w:space="0" w:color="auto"/>
      </w:divBdr>
    </w:div>
    <w:div w:id="402139861">
      <w:bodyDiv w:val="1"/>
      <w:marLeft w:val="0"/>
      <w:marRight w:val="0"/>
      <w:marTop w:val="0"/>
      <w:marBottom w:val="0"/>
      <w:divBdr>
        <w:top w:val="none" w:sz="0" w:space="0" w:color="auto"/>
        <w:left w:val="none" w:sz="0" w:space="0" w:color="auto"/>
        <w:bottom w:val="none" w:sz="0" w:space="0" w:color="auto"/>
        <w:right w:val="none" w:sz="0" w:space="0" w:color="auto"/>
      </w:divBdr>
    </w:div>
    <w:div w:id="527260596">
      <w:bodyDiv w:val="1"/>
      <w:marLeft w:val="0"/>
      <w:marRight w:val="0"/>
      <w:marTop w:val="0"/>
      <w:marBottom w:val="0"/>
      <w:divBdr>
        <w:top w:val="none" w:sz="0" w:space="0" w:color="auto"/>
        <w:left w:val="none" w:sz="0" w:space="0" w:color="auto"/>
        <w:bottom w:val="none" w:sz="0" w:space="0" w:color="auto"/>
        <w:right w:val="none" w:sz="0" w:space="0" w:color="auto"/>
      </w:divBdr>
    </w:div>
    <w:div w:id="584462044">
      <w:bodyDiv w:val="1"/>
      <w:marLeft w:val="0"/>
      <w:marRight w:val="0"/>
      <w:marTop w:val="0"/>
      <w:marBottom w:val="0"/>
      <w:divBdr>
        <w:top w:val="none" w:sz="0" w:space="0" w:color="auto"/>
        <w:left w:val="none" w:sz="0" w:space="0" w:color="auto"/>
        <w:bottom w:val="none" w:sz="0" w:space="0" w:color="auto"/>
        <w:right w:val="none" w:sz="0" w:space="0" w:color="auto"/>
      </w:divBdr>
    </w:div>
    <w:div w:id="976960027">
      <w:bodyDiv w:val="1"/>
      <w:marLeft w:val="0"/>
      <w:marRight w:val="0"/>
      <w:marTop w:val="0"/>
      <w:marBottom w:val="0"/>
      <w:divBdr>
        <w:top w:val="none" w:sz="0" w:space="0" w:color="auto"/>
        <w:left w:val="none" w:sz="0" w:space="0" w:color="auto"/>
        <w:bottom w:val="none" w:sz="0" w:space="0" w:color="auto"/>
        <w:right w:val="none" w:sz="0" w:space="0" w:color="auto"/>
      </w:divBdr>
    </w:div>
    <w:div w:id="1104693766">
      <w:bodyDiv w:val="1"/>
      <w:marLeft w:val="0"/>
      <w:marRight w:val="0"/>
      <w:marTop w:val="0"/>
      <w:marBottom w:val="0"/>
      <w:divBdr>
        <w:top w:val="none" w:sz="0" w:space="0" w:color="auto"/>
        <w:left w:val="none" w:sz="0" w:space="0" w:color="auto"/>
        <w:bottom w:val="none" w:sz="0" w:space="0" w:color="auto"/>
        <w:right w:val="none" w:sz="0" w:space="0" w:color="auto"/>
      </w:divBdr>
      <w:divsChild>
        <w:div w:id="2096395737">
          <w:marLeft w:val="0"/>
          <w:marRight w:val="0"/>
          <w:marTop w:val="0"/>
          <w:marBottom w:val="0"/>
          <w:divBdr>
            <w:top w:val="none" w:sz="0" w:space="0" w:color="auto"/>
            <w:left w:val="none" w:sz="0" w:space="0" w:color="auto"/>
            <w:bottom w:val="none" w:sz="0" w:space="0" w:color="auto"/>
            <w:right w:val="none" w:sz="0" w:space="0" w:color="auto"/>
          </w:divBdr>
          <w:divsChild>
            <w:div w:id="824012230">
              <w:marLeft w:val="0"/>
              <w:marRight w:val="0"/>
              <w:marTop w:val="0"/>
              <w:marBottom w:val="0"/>
              <w:divBdr>
                <w:top w:val="none" w:sz="0" w:space="0" w:color="auto"/>
                <w:left w:val="none" w:sz="0" w:space="0" w:color="auto"/>
                <w:bottom w:val="none" w:sz="0" w:space="0" w:color="auto"/>
                <w:right w:val="none" w:sz="0" w:space="0" w:color="auto"/>
              </w:divBdr>
              <w:divsChild>
                <w:div w:id="1928923571">
                  <w:marLeft w:val="0"/>
                  <w:marRight w:val="0"/>
                  <w:marTop w:val="0"/>
                  <w:marBottom w:val="0"/>
                  <w:divBdr>
                    <w:top w:val="none" w:sz="0" w:space="0" w:color="auto"/>
                    <w:left w:val="none" w:sz="0" w:space="0" w:color="auto"/>
                    <w:bottom w:val="none" w:sz="0" w:space="0" w:color="auto"/>
                    <w:right w:val="none" w:sz="0" w:space="0" w:color="auto"/>
                  </w:divBdr>
                  <w:divsChild>
                    <w:div w:id="1476797829">
                      <w:marLeft w:val="0"/>
                      <w:marRight w:val="0"/>
                      <w:marTop w:val="0"/>
                      <w:marBottom w:val="0"/>
                      <w:divBdr>
                        <w:top w:val="none" w:sz="0" w:space="0" w:color="auto"/>
                        <w:left w:val="none" w:sz="0" w:space="0" w:color="auto"/>
                        <w:bottom w:val="none" w:sz="0" w:space="0" w:color="auto"/>
                        <w:right w:val="none" w:sz="0" w:space="0" w:color="auto"/>
                      </w:divBdr>
                      <w:divsChild>
                        <w:div w:id="267128685">
                          <w:marLeft w:val="0"/>
                          <w:marRight w:val="0"/>
                          <w:marTop w:val="0"/>
                          <w:marBottom w:val="0"/>
                          <w:divBdr>
                            <w:top w:val="none" w:sz="0" w:space="0" w:color="auto"/>
                            <w:left w:val="none" w:sz="0" w:space="0" w:color="auto"/>
                            <w:bottom w:val="none" w:sz="0" w:space="0" w:color="auto"/>
                            <w:right w:val="none" w:sz="0" w:space="0" w:color="auto"/>
                          </w:divBdr>
                          <w:divsChild>
                            <w:div w:id="15427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254730">
      <w:bodyDiv w:val="1"/>
      <w:marLeft w:val="0"/>
      <w:marRight w:val="0"/>
      <w:marTop w:val="0"/>
      <w:marBottom w:val="0"/>
      <w:divBdr>
        <w:top w:val="none" w:sz="0" w:space="0" w:color="auto"/>
        <w:left w:val="none" w:sz="0" w:space="0" w:color="auto"/>
        <w:bottom w:val="none" w:sz="0" w:space="0" w:color="auto"/>
        <w:right w:val="none" w:sz="0" w:space="0" w:color="auto"/>
      </w:divBdr>
    </w:div>
    <w:div w:id="1351908853">
      <w:bodyDiv w:val="1"/>
      <w:marLeft w:val="0"/>
      <w:marRight w:val="0"/>
      <w:marTop w:val="0"/>
      <w:marBottom w:val="0"/>
      <w:divBdr>
        <w:top w:val="none" w:sz="0" w:space="0" w:color="auto"/>
        <w:left w:val="none" w:sz="0" w:space="0" w:color="auto"/>
        <w:bottom w:val="none" w:sz="0" w:space="0" w:color="auto"/>
        <w:right w:val="none" w:sz="0" w:space="0" w:color="auto"/>
      </w:divBdr>
    </w:div>
    <w:div w:id="1555116782">
      <w:bodyDiv w:val="1"/>
      <w:marLeft w:val="0"/>
      <w:marRight w:val="0"/>
      <w:marTop w:val="0"/>
      <w:marBottom w:val="0"/>
      <w:divBdr>
        <w:top w:val="none" w:sz="0" w:space="0" w:color="auto"/>
        <w:left w:val="none" w:sz="0" w:space="0" w:color="auto"/>
        <w:bottom w:val="none" w:sz="0" w:space="0" w:color="auto"/>
        <w:right w:val="none" w:sz="0" w:space="0" w:color="auto"/>
      </w:divBdr>
    </w:div>
    <w:div w:id="1621523167">
      <w:bodyDiv w:val="1"/>
      <w:marLeft w:val="0"/>
      <w:marRight w:val="0"/>
      <w:marTop w:val="0"/>
      <w:marBottom w:val="0"/>
      <w:divBdr>
        <w:top w:val="none" w:sz="0" w:space="0" w:color="auto"/>
        <w:left w:val="none" w:sz="0" w:space="0" w:color="auto"/>
        <w:bottom w:val="none" w:sz="0" w:space="0" w:color="auto"/>
        <w:right w:val="none" w:sz="0" w:space="0" w:color="auto"/>
      </w:divBdr>
    </w:div>
    <w:div w:id="1758594082">
      <w:bodyDiv w:val="1"/>
      <w:marLeft w:val="0"/>
      <w:marRight w:val="0"/>
      <w:marTop w:val="0"/>
      <w:marBottom w:val="0"/>
      <w:divBdr>
        <w:top w:val="none" w:sz="0" w:space="0" w:color="auto"/>
        <w:left w:val="none" w:sz="0" w:space="0" w:color="auto"/>
        <w:bottom w:val="none" w:sz="0" w:space="0" w:color="auto"/>
        <w:right w:val="none" w:sz="0" w:space="0" w:color="auto"/>
      </w:divBdr>
    </w:div>
    <w:div w:id="1927417314">
      <w:bodyDiv w:val="1"/>
      <w:marLeft w:val="0"/>
      <w:marRight w:val="0"/>
      <w:marTop w:val="0"/>
      <w:marBottom w:val="0"/>
      <w:divBdr>
        <w:top w:val="none" w:sz="0" w:space="0" w:color="auto"/>
        <w:left w:val="none" w:sz="0" w:space="0" w:color="auto"/>
        <w:bottom w:val="none" w:sz="0" w:space="0" w:color="auto"/>
        <w:right w:val="none" w:sz="0" w:space="0" w:color="auto"/>
      </w:divBdr>
    </w:div>
    <w:div w:id="19366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rlyn.keller@tasb.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TASB1\VOL1\Apps\Shared%20Office%20Forms\%5bTASB%20Std%5d\TASB_ltrhead_multi-pag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81D2E5167CA4BB9D482413DE4A6ED" ma:contentTypeVersion="14" ma:contentTypeDescription="Create a new document." ma:contentTypeScope="" ma:versionID="c9b4f8f7c82e26b64a75c5e3a8220ac4">
  <xsd:schema xmlns:xsd="http://www.w3.org/2001/XMLSchema" xmlns:xs="http://www.w3.org/2001/XMLSchema" xmlns:p="http://schemas.microsoft.com/office/2006/metadata/properties" xmlns:ns2="3c99ce7f-94a5-40bf-bf03-bad1ac9e16e0" xmlns:ns3="b0900803-f03e-4deb-a147-1e8ff7c2e85e" targetNamespace="http://schemas.microsoft.com/office/2006/metadata/properties" ma:root="true" ma:fieldsID="fabab7984bd0ed551b05d441c49ba388" ns2:_="" ns3:_="">
    <xsd:import namespace="3c99ce7f-94a5-40bf-bf03-bad1ac9e16e0"/>
    <xsd:import namespace="b0900803-f03e-4deb-a147-1e8ff7c2e85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9ce7f-94a5-40bf-bf03-bad1ac9e16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7b7afd-8dd9-4052-8777-d98249c035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900803-f03e-4deb-a147-1e8ff7c2e85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b641724-1c1b-4447-9b41-be5f713abb3f}" ma:internalName="TaxCatchAll" ma:showField="CatchAllData" ma:web="b0900803-f03e-4deb-a147-1e8ff7c2e8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99ce7f-94a5-40bf-bf03-bad1ac9e16e0">
      <Terms xmlns="http://schemas.microsoft.com/office/infopath/2007/PartnerControls"/>
    </lcf76f155ced4ddcb4097134ff3c332f>
    <TaxCatchAll xmlns="b0900803-f03e-4deb-a147-1e8ff7c2e85e" xsi:nil="true"/>
  </documentManagement>
</p:properties>
</file>

<file path=customXml/itemProps1.xml><?xml version="1.0" encoding="utf-8"?>
<ds:datastoreItem xmlns:ds="http://schemas.openxmlformats.org/officeDocument/2006/customXml" ds:itemID="{A52B7395-56DB-4926-BF27-DE6C6E1A2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9ce7f-94a5-40bf-bf03-bad1ac9e16e0"/>
    <ds:schemaRef ds:uri="b0900803-f03e-4deb-a147-1e8ff7c2e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A4253E-0683-42F5-8D2B-3D23AC9775D9}">
  <ds:schemaRefs>
    <ds:schemaRef ds:uri="http://schemas.microsoft.com/sharepoint/v3/contenttype/forms"/>
  </ds:schemaRefs>
</ds:datastoreItem>
</file>

<file path=customXml/itemProps3.xml><?xml version="1.0" encoding="utf-8"?>
<ds:datastoreItem xmlns:ds="http://schemas.openxmlformats.org/officeDocument/2006/customXml" ds:itemID="{31541841-4049-47DE-A42F-D6C5608CFB85}">
  <ds:schemaRefs>
    <ds:schemaRef ds:uri="http://schemas.microsoft.com/office/2006/metadata/properties"/>
    <ds:schemaRef ds:uri="http://schemas.microsoft.com/office/infopath/2007/PartnerControls"/>
    <ds:schemaRef ds:uri="3c99ce7f-94a5-40bf-bf03-bad1ac9e16e0"/>
    <ds:schemaRef ds:uri="b0900803-f03e-4deb-a147-1e8ff7c2e85e"/>
  </ds:schemaRefs>
</ds:datastoreItem>
</file>

<file path=docProps/app.xml><?xml version="1.0" encoding="utf-8"?>
<Properties xmlns="http://schemas.openxmlformats.org/officeDocument/2006/extended-properties" xmlns:vt="http://schemas.openxmlformats.org/officeDocument/2006/docPropsVTypes">
  <Template>TASB_ltrhead_multi-page_2024</Template>
  <TotalTime>1</TotalTime>
  <Pages>10</Pages>
  <Words>3262</Words>
  <Characters>18597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Keller</dc:creator>
  <cp:keywords/>
  <dc:description/>
  <cp:lastModifiedBy>Stacie Dull</cp:lastModifiedBy>
  <cp:revision>3</cp:revision>
  <dcterms:created xsi:type="dcterms:W3CDTF">2024-07-01T13:33:00Z</dcterms:created>
  <dcterms:modified xsi:type="dcterms:W3CDTF">2024-07-01T13:36:00Z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0x01010053281D2E5167CA4BB9D482413DE4A6ED</vt:lpwstr>
  </property>
  <property fmtid="{D5CDD505-2E9C-101B-9397-08002B2CF9AE}" pid="3" name="MediaServiceImageTags">
    <vt:lpwstr/>
  </property>
</Properties>
</file>