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B3248" w14:textId="1DF1D9D8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3EE5D2" w14:textId="77777777" w:rsidR="005E3B49" w:rsidRPr="00BE15AB" w:rsidRDefault="005E3B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B4DD5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CDDC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F5D0F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5EAFA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8599A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64321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1C24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E7845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CD20A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6A63B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810A0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6A633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6D296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DAD20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B910F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CBCDB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9E8E2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BFAD3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64919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31FE5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F6F0B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7DCDFD" w14:textId="77777777" w:rsidR="00C114FF" w:rsidRPr="00BE15AB" w:rsidRDefault="007B4B8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ANEKS I</w:t>
      </w:r>
    </w:p>
    <w:p w14:paraId="4654223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B1D135" w14:textId="77777777" w:rsidR="00C114FF" w:rsidRPr="00BE15AB" w:rsidRDefault="007B4B8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CHARAKTERYSTYKA WETERYNARYJNEGO PRODUKTU LECZNICZEGO</w:t>
      </w:r>
    </w:p>
    <w:p w14:paraId="54B39254" w14:textId="77777777" w:rsidR="00C114FF" w:rsidRPr="00BE15AB" w:rsidRDefault="007B4B8E" w:rsidP="00B13B6D">
      <w:pPr>
        <w:pStyle w:val="Style1"/>
      </w:pPr>
      <w:r w:rsidRPr="00BE15AB">
        <w:br w:type="page"/>
      </w:r>
      <w:r w:rsidRPr="00BE15AB">
        <w:lastRenderedPageBreak/>
        <w:t>1.</w:t>
      </w:r>
      <w:r w:rsidRPr="00BE15AB">
        <w:tab/>
        <w:t>NAZWA WETERYNARYJNEGO PRODUKTU LECZNICZEGO</w:t>
      </w:r>
    </w:p>
    <w:p w14:paraId="0801839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9C0A83" w14:textId="77777777" w:rsidR="00CB25C3" w:rsidRPr="004447E3" w:rsidRDefault="00CB25C3" w:rsidP="00CB25C3">
      <w:pPr>
        <w:tabs>
          <w:tab w:val="clear" w:pos="567"/>
        </w:tabs>
        <w:spacing w:line="240" w:lineRule="auto"/>
        <w:rPr>
          <w:szCs w:val="22"/>
        </w:rPr>
      </w:pPr>
      <w:r w:rsidRPr="004447E3">
        <w:rPr>
          <w:szCs w:val="22"/>
        </w:rPr>
        <w:t>Galliprant 20 mg tabletki dla psów</w:t>
      </w:r>
    </w:p>
    <w:p w14:paraId="344C0155" w14:textId="77777777" w:rsidR="00CB25C3" w:rsidRPr="004447E3" w:rsidRDefault="00CB25C3" w:rsidP="00CB25C3">
      <w:pPr>
        <w:tabs>
          <w:tab w:val="clear" w:pos="567"/>
        </w:tabs>
        <w:spacing w:line="240" w:lineRule="auto"/>
        <w:rPr>
          <w:szCs w:val="22"/>
        </w:rPr>
      </w:pPr>
      <w:r w:rsidRPr="004447E3">
        <w:rPr>
          <w:szCs w:val="22"/>
        </w:rPr>
        <w:t>Galliprant 60 mg tabletki dla psów</w:t>
      </w:r>
    </w:p>
    <w:p w14:paraId="62DBE721" w14:textId="77777777" w:rsidR="00CB25C3" w:rsidRPr="004447E3" w:rsidRDefault="00CB25C3" w:rsidP="00CB25C3">
      <w:pPr>
        <w:tabs>
          <w:tab w:val="clear" w:pos="567"/>
        </w:tabs>
        <w:spacing w:line="240" w:lineRule="auto"/>
        <w:rPr>
          <w:szCs w:val="22"/>
        </w:rPr>
      </w:pPr>
      <w:r w:rsidRPr="004447E3">
        <w:rPr>
          <w:szCs w:val="22"/>
        </w:rPr>
        <w:t>Galliprant 100 mg tabletki dla psów</w:t>
      </w:r>
    </w:p>
    <w:p w14:paraId="430CADE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77405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EB4A60" w14:textId="77777777" w:rsidR="00C114FF" w:rsidRPr="00BE15AB" w:rsidRDefault="007B4B8E" w:rsidP="00B13B6D">
      <w:pPr>
        <w:pStyle w:val="Style1"/>
      </w:pPr>
      <w:r w:rsidRPr="00BE15AB">
        <w:t>2.</w:t>
      </w:r>
      <w:r w:rsidRPr="00BE15AB">
        <w:tab/>
        <w:t>SKŁAD JAKOŚCIOWY I ILOŚCIOWY</w:t>
      </w:r>
    </w:p>
    <w:p w14:paraId="6A9134B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51A04A" w14:textId="77777777" w:rsidR="00B3500A" w:rsidRPr="004447E3" w:rsidRDefault="00B3500A" w:rsidP="00B3500A">
      <w:pPr>
        <w:rPr>
          <w:szCs w:val="22"/>
        </w:rPr>
      </w:pPr>
      <w:r w:rsidRPr="004447E3">
        <w:rPr>
          <w:szCs w:val="22"/>
        </w:rPr>
        <w:t>Każda tabletka zawiera:</w:t>
      </w:r>
    </w:p>
    <w:p w14:paraId="1F7FD031" w14:textId="77777777" w:rsidR="00CB25C3" w:rsidRPr="00BE15AB" w:rsidRDefault="00CB25C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A13E34" w14:textId="7E39A121" w:rsidR="00C114FF" w:rsidRDefault="007B4B8E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E15AB">
        <w:rPr>
          <w:b/>
          <w:szCs w:val="22"/>
        </w:rPr>
        <w:t>Substancja czynna:</w:t>
      </w:r>
    </w:p>
    <w:p w14:paraId="330F3D09" w14:textId="77777777" w:rsidR="0058413D" w:rsidRPr="004447E3" w:rsidRDefault="0058413D" w:rsidP="0058413D">
      <w:pPr>
        <w:tabs>
          <w:tab w:val="left" w:pos="1134"/>
          <w:tab w:val="left" w:pos="1701"/>
          <w:tab w:val="left" w:pos="2268"/>
          <w:tab w:val="left" w:pos="2835"/>
          <w:tab w:val="left" w:pos="5096"/>
        </w:tabs>
        <w:rPr>
          <w:szCs w:val="22"/>
        </w:rPr>
      </w:pPr>
      <w:r w:rsidRPr="004447E3">
        <w:rPr>
          <w:szCs w:val="22"/>
        </w:rPr>
        <w:t>Grapiprant</w:t>
      </w:r>
      <w:r w:rsidRPr="004447E3">
        <w:rPr>
          <w:szCs w:val="22"/>
        </w:rPr>
        <w:tab/>
        <w:t xml:space="preserve"> </w:t>
      </w:r>
      <w:r w:rsidRPr="004447E3">
        <w:rPr>
          <w:szCs w:val="22"/>
        </w:rPr>
        <w:tab/>
      </w:r>
      <w:r w:rsidRPr="004447E3">
        <w:rPr>
          <w:szCs w:val="22"/>
        </w:rPr>
        <w:tab/>
        <w:t>20 mg</w:t>
      </w:r>
      <w:r w:rsidRPr="004447E3">
        <w:rPr>
          <w:szCs w:val="22"/>
        </w:rPr>
        <w:tab/>
      </w:r>
    </w:p>
    <w:p w14:paraId="6AA53E49" w14:textId="77777777" w:rsidR="0058413D" w:rsidRPr="004447E3" w:rsidRDefault="0058413D" w:rsidP="0058413D">
      <w:pPr>
        <w:rPr>
          <w:szCs w:val="22"/>
        </w:rPr>
      </w:pPr>
      <w:r w:rsidRPr="004447E3">
        <w:rPr>
          <w:szCs w:val="22"/>
        </w:rPr>
        <w:t>Grapiprant</w:t>
      </w:r>
      <w:r w:rsidRPr="004447E3">
        <w:rPr>
          <w:szCs w:val="22"/>
        </w:rPr>
        <w:tab/>
        <w:t xml:space="preserve"> </w:t>
      </w:r>
      <w:r w:rsidRPr="004447E3">
        <w:rPr>
          <w:szCs w:val="22"/>
        </w:rPr>
        <w:tab/>
      </w:r>
      <w:r w:rsidRPr="004447E3">
        <w:rPr>
          <w:szCs w:val="22"/>
        </w:rPr>
        <w:tab/>
        <w:t>60 mg</w:t>
      </w:r>
    </w:p>
    <w:p w14:paraId="60536350" w14:textId="77777777" w:rsidR="0058413D" w:rsidRPr="004447E3" w:rsidRDefault="0058413D" w:rsidP="0058413D">
      <w:pPr>
        <w:rPr>
          <w:szCs w:val="22"/>
        </w:rPr>
      </w:pPr>
      <w:r w:rsidRPr="004447E3">
        <w:rPr>
          <w:szCs w:val="22"/>
        </w:rPr>
        <w:t>Grapiprant</w:t>
      </w:r>
      <w:r w:rsidRPr="004447E3">
        <w:rPr>
          <w:szCs w:val="22"/>
        </w:rPr>
        <w:tab/>
        <w:t xml:space="preserve"> </w:t>
      </w:r>
      <w:r w:rsidRPr="004447E3">
        <w:rPr>
          <w:szCs w:val="22"/>
        </w:rPr>
        <w:tab/>
      </w:r>
      <w:r w:rsidRPr="004447E3">
        <w:rPr>
          <w:szCs w:val="22"/>
        </w:rPr>
        <w:tab/>
        <w:t>100 mg</w:t>
      </w:r>
    </w:p>
    <w:p w14:paraId="7E8DA9C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B7764A" w14:textId="2C61170C" w:rsidR="00C114FF" w:rsidRPr="00BE15AB" w:rsidRDefault="007B4B8E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b/>
          <w:szCs w:val="22"/>
        </w:rPr>
        <w:t xml:space="preserve">Substancje pomocnicze: </w:t>
      </w:r>
    </w:p>
    <w:p w14:paraId="6841A88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666A37" w14:paraId="6C175DFE" w14:textId="77777777" w:rsidTr="00522709">
        <w:tc>
          <w:tcPr>
            <w:tcW w:w="4525" w:type="dxa"/>
            <w:shd w:val="clear" w:color="auto" w:fill="auto"/>
            <w:vAlign w:val="center"/>
          </w:tcPr>
          <w:p w14:paraId="4D9BC668" w14:textId="77777777" w:rsidR="00666A37" w:rsidRPr="00BE15AB" w:rsidRDefault="00666A37" w:rsidP="00522709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>Skład jakościowy substancji pomocniczych i pozostałych składników</w:t>
            </w:r>
          </w:p>
        </w:tc>
      </w:tr>
      <w:tr w:rsidR="00666A37" w14:paraId="104C833F" w14:textId="77777777" w:rsidTr="00522709">
        <w:tc>
          <w:tcPr>
            <w:tcW w:w="4525" w:type="dxa"/>
            <w:shd w:val="clear" w:color="auto" w:fill="auto"/>
            <w:vAlign w:val="center"/>
          </w:tcPr>
          <w:p w14:paraId="577DCDC9" w14:textId="77777777" w:rsidR="00666A37" w:rsidRPr="00BE15AB" w:rsidRDefault="00666A37" w:rsidP="00522709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903715">
              <w:rPr>
                <w:iCs/>
                <w:szCs w:val="22"/>
              </w:rPr>
              <w:t xml:space="preserve">Sproszkowana wątroba wieprzowa </w:t>
            </w:r>
          </w:p>
        </w:tc>
      </w:tr>
      <w:tr w:rsidR="00666A37" w14:paraId="40DD553E" w14:textId="77777777" w:rsidTr="00522709">
        <w:tc>
          <w:tcPr>
            <w:tcW w:w="4525" w:type="dxa"/>
            <w:shd w:val="clear" w:color="auto" w:fill="auto"/>
            <w:vAlign w:val="center"/>
          </w:tcPr>
          <w:p w14:paraId="6253B897" w14:textId="77777777" w:rsidR="00666A37" w:rsidRPr="00BE15AB" w:rsidRDefault="00666A37" w:rsidP="00522709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903715">
              <w:rPr>
                <w:iCs/>
                <w:szCs w:val="22"/>
              </w:rPr>
              <w:t>Laktoza jednowodna</w:t>
            </w:r>
          </w:p>
        </w:tc>
      </w:tr>
      <w:tr w:rsidR="00666A37" w14:paraId="7BCFF4E9" w14:textId="77777777" w:rsidTr="00522709">
        <w:tc>
          <w:tcPr>
            <w:tcW w:w="4525" w:type="dxa"/>
            <w:shd w:val="clear" w:color="auto" w:fill="auto"/>
            <w:vAlign w:val="center"/>
          </w:tcPr>
          <w:p w14:paraId="061C03F1" w14:textId="6A0EA178" w:rsidR="00666A37" w:rsidRPr="00BE15AB" w:rsidRDefault="00666A37" w:rsidP="00522709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903715">
              <w:rPr>
                <w:iCs/>
                <w:szCs w:val="22"/>
              </w:rPr>
              <w:t>Karboksymetyloskrobia sodowa</w:t>
            </w:r>
            <w:r w:rsidR="00FD55D0">
              <w:rPr>
                <w:iCs/>
                <w:szCs w:val="22"/>
              </w:rPr>
              <w:t xml:space="preserve"> </w:t>
            </w:r>
            <w:r w:rsidRPr="00903715">
              <w:rPr>
                <w:iCs/>
                <w:szCs w:val="22"/>
              </w:rPr>
              <w:t>typ A</w:t>
            </w:r>
          </w:p>
        </w:tc>
      </w:tr>
      <w:tr w:rsidR="00666A37" w14:paraId="61E70AB6" w14:textId="77777777" w:rsidTr="00522709">
        <w:tc>
          <w:tcPr>
            <w:tcW w:w="4525" w:type="dxa"/>
            <w:shd w:val="clear" w:color="auto" w:fill="auto"/>
            <w:vAlign w:val="center"/>
          </w:tcPr>
          <w:p w14:paraId="73F38FF8" w14:textId="77777777" w:rsidR="00666A37" w:rsidRPr="00903715" w:rsidRDefault="00666A37" w:rsidP="00522709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903715">
              <w:rPr>
                <w:iCs/>
                <w:szCs w:val="22"/>
              </w:rPr>
              <w:t>Sodu laurylosiarczan</w:t>
            </w:r>
          </w:p>
        </w:tc>
      </w:tr>
      <w:tr w:rsidR="00666A37" w14:paraId="586BF488" w14:textId="77777777" w:rsidTr="00522709">
        <w:tc>
          <w:tcPr>
            <w:tcW w:w="4525" w:type="dxa"/>
            <w:shd w:val="clear" w:color="auto" w:fill="auto"/>
            <w:vAlign w:val="center"/>
          </w:tcPr>
          <w:p w14:paraId="7792DE6D" w14:textId="77777777" w:rsidR="00666A37" w:rsidRPr="00BE15AB" w:rsidRDefault="00666A37" w:rsidP="00522709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903715">
              <w:rPr>
                <w:iCs/>
                <w:szCs w:val="22"/>
              </w:rPr>
              <w:t>Kopowidon</w:t>
            </w:r>
          </w:p>
        </w:tc>
      </w:tr>
      <w:tr w:rsidR="00666A37" w14:paraId="11CE3A2E" w14:textId="77777777" w:rsidTr="00522709">
        <w:tc>
          <w:tcPr>
            <w:tcW w:w="4525" w:type="dxa"/>
            <w:shd w:val="clear" w:color="auto" w:fill="auto"/>
            <w:vAlign w:val="center"/>
          </w:tcPr>
          <w:p w14:paraId="4090E5D7" w14:textId="77777777" w:rsidR="00666A37" w:rsidRPr="00BE15AB" w:rsidRDefault="00666A37" w:rsidP="00522709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903715">
              <w:rPr>
                <w:iCs/>
                <w:szCs w:val="22"/>
              </w:rPr>
              <w:t>Celuloza mikrokrystaliczna</w:t>
            </w:r>
          </w:p>
        </w:tc>
      </w:tr>
      <w:tr w:rsidR="00666A37" w14:paraId="5E9361AC" w14:textId="77777777" w:rsidTr="00522709">
        <w:tc>
          <w:tcPr>
            <w:tcW w:w="4525" w:type="dxa"/>
            <w:shd w:val="clear" w:color="auto" w:fill="auto"/>
            <w:vAlign w:val="center"/>
          </w:tcPr>
          <w:p w14:paraId="2F9ABEB8" w14:textId="77777777" w:rsidR="00666A37" w:rsidRPr="00BE15AB" w:rsidRDefault="00666A37" w:rsidP="00522709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903715">
              <w:rPr>
                <w:iCs/>
                <w:szCs w:val="22"/>
              </w:rPr>
              <w:t>Magnezu stearynian</w:t>
            </w:r>
          </w:p>
        </w:tc>
      </w:tr>
      <w:tr w:rsidR="00666A37" w14:paraId="2665E619" w14:textId="77777777" w:rsidTr="00522709">
        <w:tc>
          <w:tcPr>
            <w:tcW w:w="4525" w:type="dxa"/>
            <w:shd w:val="clear" w:color="auto" w:fill="auto"/>
            <w:vAlign w:val="center"/>
          </w:tcPr>
          <w:p w14:paraId="5716F29A" w14:textId="77777777" w:rsidR="00666A37" w:rsidRPr="00BE15AB" w:rsidRDefault="00666A37" w:rsidP="00522709">
            <w:pPr>
              <w:spacing w:before="60" w:after="60"/>
              <w:rPr>
                <w:iCs/>
                <w:szCs w:val="22"/>
              </w:rPr>
            </w:pPr>
            <w:r w:rsidRPr="00903715">
              <w:rPr>
                <w:iCs/>
                <w:szCs w:val="22"/>
              </w:rPr>
              <w:t>Krzemionka koloidalna bezwodna</w:t>
            </w:r>
          </w:p>
        </w:tc>
      </w:tr>
    </w:tbl>
    <w:p w14:paraId="0CCC7202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CF1D9D" w14:textId="5BC4879F" w:rsidR="00E00DAE" w:rsidRPr="004447E3" w:rsidRDefault="00E00DAE" w:rsidP="00E00DAE">
      <w:pPr>
        <w:tabs>
          <w:tab w:val="clear" w:pos="567"/>
        </w:tabs>
        <w:spacing w:line="240" w:lineRule="auto"/>
        <w:rPr>
          <w:szCs w:val="22"/>
        </w:rPr>
      </w:pPr>
      <w:r w:rsidRPr="00776CA0">
        <w:rPr>
          <w:szCs w:val="22"/>
          <w:u w:val="single"/>
        </w:rPr>
        <w:t>Galliprant 20 mg tabletki:</w:t>
      </w:r>
      <w:r w:rsidRPr="004447E3">
        <w:rPr>
          <w:szCs w:val="22"/>
        </w:rPr>
        <w:t xml:space="preserve"> brązowa, nakrapiana, dwuwypukła, owalna tabletka z linią podziału z jednej strony, oddzielającą wytłoczoną liczbę </w:t>
      </w:r>
      <w:r w:rsidRPr="004447E3">
        <w:rPr>
          <w:szCs w:val="22"/>
          <w:cs/>
        </w:rPr>
        <w:t>„</w:t>
      </w:r>
      <w:r w:rsidRPr="004447E3">
        <w:rPr>
          <w:szCs w:val="22"/>
        </w:rPr>
        <w:t>20</w:t>
      </w:r>
      <w:r w:rsidRPr="004447E3">
        <w:rPr>
          <w:szCs w:val="22"/>
          <w:cs/>
        </w:rPr>
        <w:t xml:space="preserve">” </w:t>
      </w:r>
      <w:r w:rsidRPr="004447E3">
        <w:rPr>
          <w:szCs w:val="22"/>
        </w:rPr>
        <w:t xml:space="preserve">na jednej połowie i litery </w:t>
      </w:r>
      <w:r w:rsidRPr="004447E3">
        <w:rPr>
          <w:szCs w:val="22"/>
          <w:cs/>
        </w:rPr>
        <w:t>„</w:t>
      </w:r>
      <w:r w:rsidRPr="004447E3">
        <w:rPr>
          <w:szCs w:val="22"/>
        </w:rPr>
        <w:t>MG</w:t>
      </w:r>
      <w:r w:rsidRPr="004447E3">
        <w:rPr>
          <w:szCs w:val="22"/>
          <w:cs/>
        </w:rPr>
        <w:t xml:space="preserve">” </w:t>
      </w:r>
      <w:r w:rsidRPr="004447E3">
        <w:rPr>
          <w:szCs w:val="22"/>
        </w:rPr>
        <w:t xml:space="preserve">na drugiej połowie. Litera </w:t>
      </w:r>
      <w:r w:rsidRPr="004447E3">
        <w:rPr>
          <w:szCs w:val="22"/>
          <w:cs/>
        </w:rPr>
        <w:t>„</w:t>
      </w:r>
      <w:r w:rsidRPr="004447E3">
        <w:rPr>
          <w:szCs w:val="22"/>
        </w:rPr>
        <w:t>G</w:t>
      </w:r>
      <w:r w:rsidRPr="004447E3">
        <w:rPr>
          <w:szCs w:val="22"/>
          <w:cs/>
        </w:rPr>
        <w:t xml:space="preserve">” </w:t>
      </w:r>
      <w:r w:rsidRPr="004447E3">
        <w:rPr>
          <w:szCs w:val="22"/>
        </w:rPr>
        <w:t>jest wytłoczona na drugiej stronie. Tabletkę można dzielić na połowy.</w:t>
      </w:r>
    </w:p>
    <w:p w14:paraId="08AFF139" w14:textId="77777777" w:rsidR="00E00DAE" w:rsidRPr="004447E3" w:rsidRDefault="00E00DAE" w:rsidP="00E00DAE">
      <w:pPr>
        <w:tabs>
          <w:tab w:val="clear" w:pos="567"/>
        </w:tabs>
        <w:spacing w:line="240" w:lineRule="auto"/>
        <w:rPr>
          <w:bCs/>
          <w:szCs w:val="22"/>
        </w:rPr>
      </w:pPr>
    </w:p>
    <w:p w14:paraId="60C5BB5F" w14:textId="3550C813" w:rsidR="00E00DAE" w:rsidRPr="004447E3" w:rsidRDefault="00E00DAE" w:rsidP="00E00DAE">
      <w:pPr>
        <w:tabs>
          <w:tab w:val="clear" w:pos="567"/>
        </w:tabs>
        <w:spacing w:line="240" w:lineRule="auto"/>
        <w:rPr>
          <w:szCs w:val="22"/>
        </w:rPr>
      </w:pPr>
      <w:r w:rsidRPr="00776CA0">
        <w:rPr>
          <w:szCs w:val="22"/>
          <w:u w:val="single"/>
        </w:rPr>
        <w:t>Galliprant 60 mg tabletki:</w:t>
      </w:r>
      <w:r w:rsidRPr="004447E3">
        <w:rPr>
          <w:szCs w:val="22"/>
        </w:rPr>
        <w:t xml:space="preserve"> brązowa, nakrapiana, dwuwypukła, owalna tabletka z linią podziału z jednej strony, oddzielającą wytłoczoną liczbę </w:t>
      </w:r>
      <w:r w:rsidRPr="004447E3">
        <w:rPr>
          <w:szCs w:val="22"/>
          <w:cs/>
        </w:rPr>
        <w:t>„</w:t>
      </w:r>
      <w:r w:rsidRPr="004447E3">
        <w:rPr>
          <w:szCs w:val="22"/>
        </w:rPr>
        <w:t>60</w:t>
      </w:r>
      <w:r w:rsidRPr="004447E3">
        <w:rPr>
          <w:szCs w:val="22"/>
          <w:cs/>
        </w:rPr>
        <w:t xml:space="preserve">” </w:t>
      </w:r>
      <w:r w:rsidRPr="004447E3">
        <w:rPr>
          <w:szCs w:val="22"/>
        </w:rPr>
        <w:t xml:space="preserve">na jednej połowie i litery </w:t>
      </w:r>
      <w:r w:rsidRPr="004447E3">
        <w:rPr>
          <w:szCs w:val="22"/>
          <w:cs/>
        </w:rPr>
        <w:t>„</w:t>
      </w:r>
      <w:r w:rsidRPr="004447E3">
        <w:rPr>
          <w:szCs w:val="22"/>
        </w:rPr>
        <w:t>MG</w:t>
      </w:r>
      <w:r w:rsidRPr="004447E3">
        <w:rPr>
          <w:szCs w:val="22"/>
          <w:cs/>
        </w:rPr>
        <w:t xml:space="preserve">” </w:t>
      </w:r>
      <w:r w:rsidRPr="004447E3">
        <w:rPr>
          <w:szCs w:val="22"/>
        </w:rPr>
        <w:t xml:space="preserve">na drugiej połowie. Litera </w:t>
      </w:r>
      <w:r w:rsidRPr="004447E3">
        <w:rPr>
          <w:szCs w:val="22"/>
          <w:cs/>
        </w:rPr>
        <w:t>„</w:t>
      </w:r>
      <w:r w:rsidRPr="004447E3">
        <w:rPr>
          <w:szCs w:val="22"/>
        </w:rPr>
        <w:t>G</w:t>
      </w:r>
      <w:r w:rsidRPr="004447E3">
        <w:rPr>
          <w:szCs w:val="22"/>
          <w:cs/>
        </w:rPr>
        <w:t xml:space="preserve">” </w:t>
      </w:r>
      <w:r w:rsidRPr="004447E3">
        <w:rPr>
          <w:szCs w:val="22"/>
        </w:rPr>
        <w:t>jest wytłoczona na drugiej stronie. Tabletkę można dzielić na połowy.</w:t>
      </w:r>
    </w:p>
    <w:p w14:paraId="1CB21709" w14:textId="77777777" w:rsidR="00E00DAE" w:rsidRPr="004447E3" w:rsidRDefault="00E00DAE" w:rsidP="00E00DAE">
      <w:pPr>
        <w:tabs>
          <w:tab w:val="clear" w:pos="567"/>
        </w:tabs>
        <w:spacing w:line="240" w:lineRule="auto"/>
        <w:rPr>
          <w:bCs/>
          <w:szCs w:val="22"/>
        </w:rPr>
      </w:pPr>
    </w:p>
    <w:p w14:paraId="772A80D8" w14:textId="57C415D8" w:rsidR="00E00DAE" w:rsidRPr="004447E3" w:rsidRDefault="00E00DAE" w:rsidP="00E00DAE">
      <w:pPr>
        <w:tabs>
          <w:tab w:val="clear" w:pos="567"/>
        </w:tabs>
        <w:spacing w:line="240" w:lineRule="auto"/>
        <w:rPr>
          <w:szCs w:val="22"/>
        </w:rPr>
      </w:pPr>
      <w:r w:rsidRPr="00776CA0">
        <w:rPr>
          <w:szCs w:val="22"/>
          <w:u w:val="single"/>
        </w:rPr>
        <w:t>Galliprant 100 mg tabletki:</w:t>
      </w:r>
      <w:r w:rsidRPr="004447E3">
        <w:rPr>
          <w:szCs w:val="22"/>
        </w:rPr>
        <w:t xml:space="preserve"> brązowa, nakrapiana, dwuwypukła, owalna tabletka z wytłoczoną liczb</w:t>
      </w:r>
      <w:r w:rsidR="00475DA1">
        <w:rPr>
          <w:szCs w:val="22"/>
        </w:rPr>
        <w:t>ą</w:t>
      </w:r>
      <w:r w:rsidRPr="004447E3">
        <w:rPr>
          <w:szCs w:val="22"/>
        </w:rPr>
        <w:t xml:space="preserve"> </w:t>
      </w:r>
      <w:r w:rsidRPr="004447E3">
        <w:rPr>
          <w:szCs w:val="22"/>
          <w:cs/>
        </w:rPr>
        <w:t>„</w:t>
      </w:r>
      <w:r w:rsidRPr="004447E3">
        <w:rPr>
          <w:szCs w:val="22"/>
        </w:rPr>
        <w:t>100</w:t>
      </w:r>
      <w:r w:rsidRPr="004447E3">
        <w:rPr>
          <w:szCs w:val="22"/>
          <w:cs/>
        </w:rPr>
        <w:t xml:space="preserve">” </w:t>
      </w:r>
      <w:r w:rsidRPr="004447E3">
        <w:rPr>
          <w:szCs w:val="22"/>
        </w:rPr>
        <w:t>na jednej połowie i liter</w:t>
      </w:r>
      <w:r w:rsidR="00231548">
        <w:rPr>
          <w:szCs w:val="22"/>
        </w:rPr>
        <w:t>ami</w:t>
      </w:r>
      <w:r w:rsidRPr="004447E3">
        <w:rPr>
          <w:szCs w:val="22"/>
        </w:rPr>
        <w:t xml:space="preserve"> </w:t>
      </w:r>
      <w:r w:rsidRPr="004447E3">
        <w:rPr>
          <w:szCs w:val="22"/>
          <w:cs/>
        </w:rPr>
        <w:t>„</w:t>
      </w:r>
      <w:r w:rsidRPr="004447E3">
        <w:rPr>
          <w:szCs w:val="22"/>
        </w:rPr>
        <w:t>MG</w:t>
      </w:r>
      <w:r w:rsidRPr="004447E3">
        <w:rPr>
          <w:szCs w:val="22"/>
          <w:cs/>
        </w:rPr>
        <w:t xml:space="preserve">” </w:t>
      </w:r>
      <w:r w:rsidRPr="004447E3">
        <w:rPr>
          <w:szCs w:val="22"/>
        </w:rPr>
        <w:t xml:space="preserve">na drugiej połowie. Litera </w:t>
      </w:r>
      <w:r w:rsidRPr="004447E3">
        <w:rPr>
          <w:szCs w:val="22"/>
          <w:cs/>
        </w:rPr>
        <w:t>„</w:t>
      </w:r>
      <w:r w:rsidRPr="004447E3">
        <w:rPr>
          <w:szCs w:val="22"/>
        </w:rPr>
        <w:t>G</w:t>
      </w:r>
      <w:r w:rsidRPr="004447E3">
        <w:rPr>
          <w:szCs w:val="22"/>
          <w:cs/>
        </w:rPr>
        <w:t xml:space="preserve">” </w:t>
      </w:r>
      <w:r w:rsidRPr="004447E3">
        <w:rPr>
          <w:szCs w:val="22"/>
        </w:rPr>
        <w:t>jest wytłoczona na drugiej stronie.</w:t>
      </w:r>
    </w:p>
    <w:p w14:paraId="3B37AC78" w14:textId="77777777" w:rsidR="00E00DAE" w:rsidRPr="00BE15AB" w:rsidRDefault="00E00D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E808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D5B805" w14:textId="77777777" w:rsidR="00C114FF" w:rsidRPr="00BE15AB" w:rsidRDefault="007B4B8E" w:rsidP="00B13B6D">
      <w:pPr>
        <w:pStyle w:val="Style1"/>
      </w:pPr>
      <w:r w:rsidRPr="00BE15AB">
        <w:t>3.</w:t>
      </w:r>
      <w:r w:rsidRPr="00BE15AB">
        <w:tab/>
        <w:t>DANE KLINICZNE</w:t>
      </w:r>
    </w:p>
    <w:p w14:paraId="2401971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F4B1D" w14:textId="77777777" w:rsidR="00C114FF" w:rsidRDefault="007B4B8E" w:rsidP="00B13B6D">
      <w:pPr>
        <w:pStyle w:val="Style1"/>
      </w:pPr>
      <w:r w:rsidRPr="00BE15AB">
        <w:t>3.1</w:t>
      </w:r>
      <w:r w:rsidRPr="00BE15AB">
        <w:tab/>
        <w:t>Docelowe gatunki zwierząt</w:t>
      </w:r>
    </w:p>
    <w:p w14:paraId="4A0AF941" w14:textId="77777777" w:rsidR="00A33272" w:rsidRDefault="00A33272" w:rsidP="00B13B6D">
      <w:pPr>
        <w:pStyle w:val="Style1"/>
      </w:pPr>
    </w:p>
    <w:p w14:paraId="37CD73D5" w14:textId="7692E4F1" w:rsidR="00A33272" w:rsidRPr="008C1D8C" w:rsidRDefault="008C1D8C" w:rsidP="008C1D8C">
      <w:pPr>
        <w:tabs>
          <w:tab w:val="clear" w:pos="567"/>
        </w:tabs>
        <w:spacing w:line="240" w:lineRule="auto"/>
        <w:rPr>
          <w:szCs w:val="22"/>
        </w:rPr>
      </w:pPr>
      <w:r w:rsidRPr="004447E3">
        <w:rPr>
          <w:szCs w:val="22"/>
        </w:rPr>
        <w:t>Psy.</w:t>
      </w:r>
    </w:p>
    <w:p w14:paraId="21C182F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CAC34F" w14:textId="77777777" w:rsidR="00C114FF" w:rsidRPr="00BE15AB" w:rsidRDefault="007B4B8E" w:rsidP="00B13B6D">
      <w:pPr>
        <w:pStyle w:val="Style1"/>
      </w:pPr>
      <w:r w:rsidRPr="00BE15AB">
        <w:t>3.2</w:t>
      </w:r>
      <w:r w:rsidRPr="00BE15AB">
        <w:tab/>
        <w:t xml:space="preserve">Wskazania lecznicze </w:t>
      </w:r>
      <w:r w:rsidRPr="001B48EA">
        <w:t>dla</w:t>
      </w:r>
      <w:r w:rsidRPr="00BE15AB">
        <w:t xml:space="preserve"> każdego z docelowych gatunków zwierząt</w:t>
      </w:r>
    </w:p>
    <w:p w14:paraId="58B3654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8E04CF" w14:textId="4E53C528" w:rsidR="00E86CEE" w:rsidRDefault="00141C04" w:rsidP="00145C3F">
      <w:pPr>
        <w:tabs>
          <w:tab w:val="clear" w:pos="567"/>
        </w:tabs>
        <w:spacing w:line="240" w:lineRule="auto"/>
      </w:pPr>
      <w:r w:rsidRPr="00141C04">
        <w:t>Leczenie bólu związanego z chorobą zwyrodnieniową stawów u psów o nasileniu łagodnym do średniego.</w:t>
      </w:r>
    </w:p>
    <w:p w14:paraId="7EBF5EE0" w14:textId="77777777" w:rsidR="005E3B49" w:rsidRPr="00BE15AB" w:rsidRDefault="005E3B4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5B3764" w14:textId="77777777" w:rsidR="00C114FF" w:rsidRPr="00BE15AB" w:rsidRDefault="007B4B8E" w:rsidP="00B13B6D">
      <w:pPr>
        <w:pStyle w:val="Style1"/>
      </w:pPr>
      <w:r w:rsidRPr="00BE15AB">
        <w:t>3.3</w:t>
      </w:r>
      <w:r w:rsidRPr="00BE15AB">
        <w:tab/>
        <w:t>Przeciwwskazania</w:t>
      </w:r>
    </w:p>
    <w:p w14:paraId="55818786" w14:textId="77777777" w:rsidR="005E3B49" w:rsidRPr="00BE15AB" w:rsidRDefault="005E3B4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FCEAF13" w14:textId="2D97D0F1" w:rsidR="009B45FB" w:rsidRPr="004447E3" w:rsidRDefault="009B45FB" w:rsidP="009B45FB">
      <w:pPr>
        <w:rPr>
          <w:szCs w:val="22"/>
        </w:rPr>
      </w:pPr>
      <w:r w:rsidRPr="004447E3">
        <w:rPr>
          <w:szCs w:val="22"/>
        </w:rPr>
        <w:t>Nie s</w:t>
      </w:r>
      <w:smartTag w:uri="urn:schemas-microsoft-com:office:smarttags" w:element="PersonName">
        <w:r w:rsidRPr="004447E3">
          <w:rPr>
            <w:szCs w:val="22"/>
          </w:rPr>
          <w:t>to</w:t>
        </w:r>
      </w:smartTag>
      <w:r w:rsidRPr="004447E3">
        <w:rPr>
          <w:szCs w:val="22"/>
        </w:rPr>
        <w:t>sować w przypadk</w:t>
      </w:r>
      <w:r>
        <w:rPr>
          <w:szCs w:val="22"/>
        </w:rPr>
        <w:t>ach</w:t>
      </w:r>
      <w:r w:rsidRPr="004447E3">
        <w:rPr>
          <w:szCs w:val="22"/>
        </w:rPr>
        <w:t xml:space="preserve"> nadwrażliwości na substancję czynną lub na dowolną substancję pomocniczą.</w:t>
      </w:r>
    </w:p>
    <w:p w14:paraId="2FBC31DC" w14:textId="34376C44" w:rsidR="009B45FB" w:rsidRPr="00BE15AB" w:rsidRDefault="009B45FB" w:rsidP="009B45FB">
      <w:pPr>
        <w:tabs>
          <w:tab w:val="clear" w:pos="567"/>
        </w:tabs>
        <w:spacing w:line="240" w:lineRule="auto"/>
        <w:rPr>
          <w:szCs w:val="22"/>
        </w:rPr>
      </w:pPr>
      <w:r w:rsidRPr="004447E3">
        <w:rPr>
          <w:szCs w:val="22"/>
        </w:rPr>
        <w:t>Nie s</w:t>
      </w:r>
      <w:smartTag w:uri="urn:schemas-microsoft-com:office:smarttags" w:element="PersonName">
        <w:r w:rsidRPr="004447E3">
          <w:rPr>
            <w:szCs w:val="22"/>
          </w:rPr>
          <w:t>to</w:t>
        </w:r>
      </w:smartTag>
      <w:r w:rsidRPr="004447E3">
        <w:rPr>
          <w:szCs w:val="22"/>
        </w:rPr>
        <w:t>sować u zwierząt w czasie ciąży, w czasie laktacji ani u zwierząt zarodowych.</w:t>
      </w:r>
      <w:r w:rsidR="00557452">
        <w:rPr>
          <w:szCs w:val="22"/>
        </w:rPr>
        <w:t xml:space="preserve"> </w:t>
      </w:r>
      <w:r w:rsidR="00557452" w:rsidRPr="004447E3">
        <w:rPr>
          <w:szCs w:val="22"/>
        </w:rPr>
        <w:t>Patrz punkt </w:t>
      </w:r>
      <w:r w:rsidR="00557452">
        <w:rPr>
          <w:szCs w:val="22"/>
        </w:rPr>
        <w:t>3</w:t>
      </w:r>
      <w:r w:rsidR="00557452" w:rsidRPr="004447E3">
        <w:rPr>
          <w:szCs w:val="22"/>
        </w:rPr>
        <w:t>.7.</w:t>
      </w:r>
    </w:p>
    <w:p w14:paraId="484B9CA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C5B51F" w14:textId="77777777" w:rsidR="00C114FF" w:rsidRPr="00BE15AB" w:rsidRDefault="007B4B8E" w:rsidP="00B13B6D">
      <w:pPr>
        <w:pStyle w:val="Style1"/>
      </w:pPr>
      <w:r w:rsidRPr="00BE15AB">
        <w:t>3.4</w:t>
      </w:r>
      <w:r w:rsidRPr="00BE15AB">
        <w:tab/>
        <w:t>Specjalne ostrzeżenia</w:t>
      </w:r>
    </w:p>
    <w:p w14:paraId="16C222CE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6187E33" w14:textId="5C6CF1F8" w:rsidR="001030ED" w:rsidRPr="004447E3" w:rsidRDefault="001030ED" w:rsidP="001030ED">
      <w:pPr>
        <w:tabs>
          <w:tab w:val="clear" w:pos="567"/>
        </w:tabs>
        <w:spacing w:line="240" w:lineRule="auto"/>
        <w:rPr>
          <w:szCs w:val="22"/>
        </w:rPr>
      </w:pPr>
      <w:r w:rsidRPr="004447E3">
        <w:rPr>
          <w:szCs w:val="22"/>
        </w:rPr>
        <w:t xml:space="preserve">Większość psów, których stan był oceniany podczas terenowych </w:t>
      </w:r>
      <w:r w:rsidR="00587BE6" w:rsidRPr="004447E3">
        <w:rPr>
          <w:szCs w:val="22"/>
        </w:rPr>
        <w:t>bada</w:t>
      </w:r>
      <w:r w:rsidR="00587BE6">
        <w:rPr>
          <w:szCs w:val="22"/>
        </w:rPr>
        <w:t>ń</w:t>
      </w:r>
      <w:r w:rsidR="00587BE6" w:rsidRPr="004447E3">
        <w:rPr>
          <w:szCs w:val="22"/>
        </w:rPr>
        <w:t xml:space="preserve"> </w:t>
      </w:r>
      <w:r w:rsidRPr="004447E3">
        <w:rPr>
          <w:szCs w:val="22"/>
        </w:rPr>
        <w:t>klinicznych chorowała według oceny lekarza weterynarii na chorobę zwyrodnieniową stawów o nasileniu łagodnym do średniego. W celu uzyskania odpowiedzi na leczenie, produkt leczniczy weterynaryjny należy s</w:t>
      </w:r>
      <w:smartTag w:uri="urn:schemas-microsoft-com:office:smarttags" w:element="PersonName">
        <w:r w:rsidRPr="004447E3">
          <w:rPr>
            <w:szCs w:val="22"/>
          </w:rPr>
          <w:t>to</w:t>
        </w:r>
      </w:smartTag>
      <w:r w:rsidRPr="004447E3">
        <w:rPr>
          <w:szCs w:val="22"/>
        </w:rPr>
        <w:t>sować tylko w chorobie zwyrodnieniowej stawów o nasileniu łagodnym do średniego.</w:t>
      </w:r>
    </w:p>
    <w:p w14:paraId="04AE5765" w14:textId="77777777" w:rsidR="001030ED" w:rsidRPr="004447E3" w:rsidRDefault="001030ED" w:rsidP="001030ED">
      <w:pPr>
        <w:tabs>
          <w:tab w:val="clear" w:pos="567"/>
        </w:tabs>
        <w:spacing w:line="240" w:lineRule="auto"/>
        <w:rPr>
          <w:szCs w:val="22"/>
        </w:rPr>
      </w:pPr>
    </w:p>
    <w:p w14:paraId="2F5B5EF6" w14:textId="77777777" w:rsidR="001030ED" w:rsidRPr="004447E3" w:rsidRDefault="001030ED" w:rsidP="001030ED">
      <w:pPr>
        <w:tabs>
          <w:tab w:val="clear" w:pos="567"/>
        </w:tabs>
        <w:spacing w:line="240" w:lineRule="auto"/>
        <w:rPr>
          <w:szCs w:val="22"/>
        </w:rPr>
      </w:pPr>
      <w:r w:rsidRPr="004447E3">
        <w:rPr>
          <w:szCs w:val="22"/>
        </w:rPr>
        <w:t>Na podstawie dwóch terenowych badań klinicznych, ogólne wskaźniki powodzenia w oparciu o kwestionariusz CBPI (Canine Brief Pain Inven</w:t>
      </w:r>
      <w:smartTag w:uri="urn:schemas-microsoft-com:office:smarttags" w:element="PersonName">
        <w:r w:rsidRPr="004447E3">
          <w:rPr>
            <w:szCs w:val="22"/>
          </w:rPr>
          <w:t>to</w:t>
        </w:r>
      </w:smartTag>
      <w:r w:rsidRPr="004447E3">
        <w:rPr>
          <w:szCs w:val="22"/>
        </w:rPr>
        <w:t>ry, wypełniony przez właściciela) 28 dni po rozpoczęciu leczenia wynosiły 51,3%</w:t>
      </w:r>
      <w:r w:rsidRPr="004447E3">
        <w:rPr>
          <w:color w:val="000000"/>
          <w:szCs w:val="22"/>
        </w:rPr>
        <w:t xml:space="preserve"> (120/235) </w:t>
      </w:r>
      <w:r w:rsidRPr="004447E3">
        <w:rPr>
          <w:szCs w:val="22"/>
        </w:rPr>
        <w:t>dla produktu Galliprant i 35,5% (82/231) dla grupy otrzymującej placebo. Różnica na korzyść produktu Galliprant była statystycznie is</w:t>
      </w:r>
      <w:smartTag w:uri="urn:schemas-microsoft-com:office:smarttags" w:element="PersonName">
        <w:r w:rsidRPr="004447E3">
          <w:rPr>
            <w:szCs w:val="22"/>
          </w:rPr>
          <w:t>to</w:t>
        </w:r>
      </w:smartTag>
      <w:r w:rsidRPr="004447E3">
        <w:rPr>
          <w:szCs w:val="22"/>
        </w:rPr>
        <w:t>tna (war</w:t>
      </w:r>
      <w:smartTag w:uri="urn:schemas-microsoft-com:office:smarttags" w:element="PersonName">
        <w:r w:rsidRPr="004447E3">
          <w:rPr>
            <w:szCs w:val="22"/>
          </w:rPr>
          <w:t>to</w:t>
        </w:r>
      </w:smartTag>
      <w:r w:rsidRPr="004447E3">
        <w:rPr>
          <w:szCs w:val="22"/>
        </w:rPr>
        <w:t>ść p = 0,0008).</w:t>
      </w:r>
    </w:p>
    <w:p w14:paraId="5F56CFB8" w14:textId="77777777" w:rsidR="001030ED" w:rsidRPr="004447E3" w:rsidRDefault="001030ED" w:rsidP="001030ED">
      <w:pPr>
        <w:tabs>
          <w:tab w:val="clear" w:pos="567"/>
        </w:tabs>
        <w:spacing w:line="240" w:lineRule="auto"/>
        <w:rPr>
          <w:szCs w:val="22"/>
        </w:rPr>
      </w:pPr>
    </w:p>
    <w:p w14:paraId="206BA335" w14:textId="77777777" w:rsidR="001030ED" w:rsidRPr="004447E3" w:rsidRDefault="001030ED" w:rsidP="001030ED">
      <w:pPr>
        <w:tabs>
          <w:tab w:val="clear" w:pos="567"/>
        </w:tabs>
        <w:spacing w:line="240" w:lineRule="auto"/>
        <w:rPr>
          <w:szCs w:val="22"/>
        </w:rPr>
      </w:pPr>
      <w:r w:rsidRPr="004447E3">
        <w:rPr>
          <w:szCs w:val="22"/>
        </w:rPr>
        <w:t>Odpowiedź kliniczną na leczenie zazwyczaj obserwuje się w ciągu 7 dni. Jeśli po 14 dniach nie jest widoczna poprawa kliniczna, należy przerwać leczenie produktem Galliprant i skonsul</w:t>
      </w:r>
      <w:smartTag w:uri="urn:schemas-microsoft-com:office:smarttags" w:element="PersonName">
        <w:r w:rsidRPr="004447E3">
          <w:rPr>
            <w:szCs w:val="22"/>
          </w:rPr>
          <w:t>to</w:t>
        </w:r>
      </w:smartTag>
      <w:r w:rsidRPr="004447E3">
        <w:rPr>
          <w:szCs w:val="22"/>
        </w:rPr>
        <w:t>wać się z lekarzem weterynarii celem wyboru innych możliwości leczenia.</w:t>
      </w:r>
    </w:p>
    <w:p w14:paraId="3D4C28A6" w14:textId="77777777" w:rsidR="00E86CEE" w:rsidRPr="00BE15AB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2DC034A8" w14:textId="77777777" w:rsidR="00C114FF" w:rsidRPr="00BE15AB" w:rsidRDefault="007B4B8E" w:rsidP="00B13B6D">
      <w:pPr>
        <w:pStyle w:val="Style1"/>
      </w:pPr>
      <w:r w:rsidRPr="00BE15AB">
        <w:t>3.5</w:t>
      </w:r>
      <w:r w:rsidRPr="00BE15AB">
        <w:tab/>
        <w:t>Specjalne środki ostrożności dotyczące stosowania</w:t>
      </w:r>
    </w:p>
    <w:p w14:paraId="41B0EE64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BB6589B" w14:textId="77777777" w:rsidR="00C114FF" w:rsidRPr="00BE15AB" w:rsidRDefault="007B4B8E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bezpiecznego stosowania u docelowych gatunków zwierząt:</w:t>
      </w:r>
    </w:p>
    <w:p w14:paraId="43C8810A" w14:textId="77777777" w:rsidR="006813FB" w:rsidRPr="004447E3" w:rsidRDefault="006813FB" w:rsidP="006813FB">
      <w:pPr>
        <w:spacing w:line="240" w:lineRule="auto"/>
        <w:rPr>
          <w:szCs w:val="22"/>
        </w:rPr>
      </w:pPr>
    </w:p>
    <w:p w14:paraId="7E0B3113" w14:textId="77777777" w:rsidR="006813FB" w:rsidRPr="004447E3" w:rsidRDefault="006813FB" w:rsidP="006813FB">
      <w:pPr>
        <w:spacing w:line="240" w:lineRule="auto"/>
        <w:rPr>
          <w:szCs w:val="22"/>
        </w:rPr>
      </w:pPr>
      <w:r w:rsidRPr="004447E3">
        <w:rPr>
          <w:szCs w:val="22"/>
        </w:rPr>
        <w:t>Grapiprant jest metylobenzenosulfonamidem. Nie jest wiadomo czy psy z nadwrażliwością na sulfonamidy wynikającą z wywiadu będą wykazywać nadwrażliwość na grapiprant. W przypadku wystąpienia nadwrażliwości na sulfonamidy należy przerwać leczenie.</w:t>
      </w:r>
    </w:p>
    <w:p w14:paraId="333E051B" w14:textId="77777777" w:rsidR="006813FB" w:rsidRPr="004447E3" w:rsidRDefault="006813FB" w:rsidP="006813FB">
      <w:pPr>
        <w:spacing w:line="240" w:lineRule="auto"/>
        <w:rPr>
          <w:szCs w:val="22"/>
        </w:rPr>
      </w:pPr>
    </w:p>
    <w:p w14:paraId="6D56B7B2" w14:textId="77777777" w:rsidR="006813FB" w:rsidRPr="004447E3" w:rsidRDefault="006813FB" w:rsidP="006813FB">
      <w:pPr>
        <w:spacing w:line="240" w:lineRule="auto"/>
        <w:rPr>
          <w:szCs w:val="22"/>
        </w:rPr>
      </w:pPr>
      <w:r w:rsidRPr="004447E3">
        <w:rPr>
          <w:szCs w:val="22"/>
        </w:rPr>
        <w:t>S</w:t>
      </w:r>
      <w:smartTag w:uri="urn:schemas-microsoft-com:office:smarttags" w:element="PersonName">
        <w:r w:rsidRPr="004447E3">
          <w:rPr>
            <w:szCs w:val="22"/>
          </w:rPr>
          <w:t>to</w:t>
        </w:r>
      </w:smartTag>
      <w:r w:rsidRPr="004447E3">
        <w:rPr>
          <w:szCs w:val="22"/>
        </w:rPr>
        <w:t>sować z zachowaniem ostrożności u psów z istniejącymi zaburzeniami czynności wątroby, układu krążenia lub nerek lub z chorobą żołądkowo</w:t>
      </w:r>
      <w:r w:rsidRPr="004447E3">
        <w:rPr>
          <w:szCs w:val="22"/>
        </w:rPr>
        <w:noBreakHyphen/>
        <w:t>jeli</w:t>
      </w:r>
      <w:smartTag w:uri="urn:schemas-microsoft-com:office:smarttags" w:element="PersonName">
        <w:r w:rsidRPr="004447E3">
          <w:rPr>
            <w:szCs w:val="22"/>
          </w:rPr>
          <w:t>to</w:t>
        </w:r>
      </w:smartTag>
      <w:r w:rsidRPr="004447E3">
        <w:rPr>
          <w:szCs w:val="22"/>
        </w:rPr>
        <w:t>wą.</w:t>
      </w:r>
    </w:p>
    <w:p w14:paraId="32D20E2B" w14:textId="77777777" w:rsidR="006813FB" w:rsidRPr="004447E3" w:rsidRDefault="006813FB" w:rsidP="006813FB">
      <w:pPr>
        <w:spacing w:line="240" w:lineRule="auto"/>
        <w:rPr>
          <w:szCs w:val="22"/>
        </w:rPr>
      </w:pPr>
    </w:p>
    <w:p w14:paraId="3F764DAE" w14:textId="77777777" w:rsidR="006813FB" w:rsidRDefault="006813FB" w:rsidP="006813FB">
      <w:pPr>
        <w:spacing w:line="240" w:lineRule="auto"/>
        <w:rPr>
          <w:szCs w:val="22"/>
        </w:rPr>
      </w:pPr>
      <w:r w:rsidRPr="004447E3">
        <w:rPr>
          <w:szCs w:val="22"/>
        </w:rPr>
        <w:t>Nie badano jednoczesnego s</w:t>
      </w:r>
      <w:smartTag w:uri="urn:schemas-microsoft-com:office:smarttags" w:element="PersonName">
        <w:r w:rsidRPr="004447E3">
          <w:rPr>
            <w:szCs w:val="22"/>
          </w:rPr>
          <w:t>to</w:t>
        </w:r>
      </w:smartTag>
      <w:r w:rsidRPr="004447E3">
        <w:rPr>
          <w:szCs w:val="22"/>
        </w:rPr>
        <w:t>sowania grapiprantu z innymi lekami przeciwzapalnymi i należy go unikać.</w:t>
      </w:r>
    </w:p>
    <w:p w14:paraId="6F878122" w14:textId="77777777" w:rsidR="00213516" w:rsidRDefault="00213516" w:rsidP="006813FB">
      <w:pPr>
        <w:spacing w:line="240" w:lineRule="auto"/>
        <w:rPr>
          <w:szCs w:val="22"/>
        </w:rPr>
      </w:pPr>
    </w:p>
    <w:p w14:paraId="412A39AC" w14:textId="77777777" w:rsidR="00213516" w:rsidRPr="004447E3" w:rsidRDefault="00213516" w:rsidP="00213516">
      <w:pPr>
        <w:spacing w:line="240" w:lineRule="auto"/>
        <w:rPr>
          <w:szCs w:val="22"/>
        </w:rPr>
      </w:pPr>
      <w:r w:rsidRPr="004447E3">
        <w:rPr>
          <w:szCs w:val="22"/>
        </w:rPr>
        <w:t xml:space="preserve">Bezpieczeństwo produktu leczniczego weterynaryjnego nie zostało określone u psów w wieku poniżej 9 miesięcy i u psów ważących poniżej 3,6 kg. </w:t>
      </w:r>
    </w:p>
    <w:p w14:paraId="2969EB1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C399A" w14:textId="77777777" w:rsidR="00C114FF" w:rsidRPr="00BE15AB" w:rsidRDefault="007B4B8E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 xml:space="preserve">Specjalne środki ostrożności </w:t>
      </w:r>
      <w:r w:rsidRPr="0062144E">
        <w:rPr>
          <w:szCs w:val="22"/>
          <w:u w:val="single"/>
        </w:rPr>
        <w:t>dla</w:t>
      </w:r>
      <w:r w:rsidRPr="00BE15AB">
        <w:rPr>
          <w:szCs w:val="22"/>
          <w:u w:val="single"/>
        </w:rPr>
        <w:t xml:space="preserve"> osób podających weterynaryjny produkt leczniczy zwierzętom:</w:t>
      </w:r>
    </w:p>
    <w:p w14:paraId="55EAB2E5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FE0F8B" w14:textId="77777777" w:rsidR="00AC34BD" w:rsidRPr="004447E3" w:rsidRDefault="00AC34BD" w:rsidP="00AC3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447E3">
        <w:rPr>
          <w:szCs w:val="22"/>
        </w:rPr>
        <w:t>Umyć ręce po podaniu produktu leczniczego weterynaryjnego.</w:t>
      </w:r>
    </w:p>
    <w:p w14:paraId="47622156" w14:textId="3BBAF9DE" w:rsidR="00C114FF" w:rsidRDefault="00AC34BD" w:rsidP="00A9226B">
      <w:pPr>
        <w:tabs>
          <w:tab w:val="clear" w:pos="567"/>
        </w:tabs>
        <w:spacing w:line="240" w:lineRule="auto"/>
        <w:rPr>
          <w:szCs w:val="22"/>
        </w:rPr>
      </w:pPr>
      <w:r w:rsidRPr="004447E3">
        <w:rPr>
          <w:szCs w:val="22"/>
        </w:rPr>
        <w:t>Po przypadkowym połknięciu przez dzieci można zaobserwować łagodne i odwracalne objawy żołądkowo</w:t>
      </w:r>
      <w:r w:rsidRPr="004447E3">
        <w:rPr>
          <w:szCs w:val="22"/>
        </w:rPr>
        <w:noBreakHyphen/>
        <w:t>jeli</w:t>
      </w:r>
      <w:smartTag w:uri="urn:schemas-microsoft-com:office:smarttags" w:element="PersonName">
        <w:r w:rsidRPr="004447E3">
          <w:rPr>
            <w:szCs w:val="22"/>
          </w:rPr>
          <w:t>to</w:t>
        </w:r>
      </w:smartTag>
      <w:r w:rsidRPr="004447E3">
        <w:rPr>
          <w:szCs w:val="22"/>
        </w:rPr>
        <w:t>we i nudności. Po przypadkowym połknięciu należy niezwłocznie zwrócić się o pomoc lekarską oraz przedstawić lekarzowi ulotkę informacyjną lub opakowanie.</w:t>
      </w:r>
    </w:p>
    <w:p w14:paraId="0B86821C" w14:textId="77777777" w:rsidR="00B4157B" w:rsidRPr="00BE15AB" w:rsidRDefault="00B4157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A5B48A" w14:textId="77777777" w:rsidR="00295140" w:rsidRPr="00BE15AB" w:rsidRDefault="007B4B8E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ochrony środowiska:</w:t>
      </w:r>
    </w:p>
    <w:p w14:paraId="620BD2DE" w14:textId="77777777" w:rsidR="00295140" w:rsidRPr="00BE15A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0A1702" w14:textId="6D5D311A" w:rsidR="00295140" w:rsidRPr="00BE15AB" w:rsidRDefault="007B4B8E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1F2D0F1D" w14:textId="77777777" w:rsidR="00295140" w:rsidRPr="00BE15A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A98CA6" w14:textId="77777777" w:rsidR="00C114FF" w:rsidRPr="00BE15AB" w:rsidRDefault="007B4B8E" w:rsidP="00B13B6D">
      <w:pPr>
        <w:pStyle w:val="Style1"/>
      </w:pPr>
      <w:r w:rsidRPr="00BE15AB">
        <w:t>3.6</w:t>
      </w:r>
      <w:r w:rsidRPr="00BE15AB">
        <w:tab/>
        <w:t>Działania niepożądane</w:t>
      </w:r>
    </w:p>
    <w:p w14:paraId="69859039" w14:textId="77777777" w:rsidR="00295140" w:rsidRPr="00BE15AB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C111C1A" w14:textId="111BAC69" w:rsidR="00335B9B" w:rsidRPr="00BE15AB" w:rsidRDefault="00335B9B" w:rsidP="00335B9B">
      <w:pPr>
        <w:tabs>
          <w:tab w:val="clear" w:pos="567"/>
        </w:tabs>
        <w:spacing w:line="240" w:lineRule="auto"/>
        <w:rPr>
          <w:szCs w:val="22"/>
        </w:rPr>
      </w:pPr>
      <w:r w:rsidRPr="00BE15AB">
        <w:t>Docelowe gatunki zwierząt:</w:t>
      </w:r>
      <w:r>
        <w:t xml:space="preserve"> </w:t>
      </w:r>
      <w:r w:rsidR="00522709">
        <w:t>p</w:t>
      </w:r>
      <w:r>
        <w:t>sy</w:t>
      </w:r>
    </w:p>
    <w:p w14:paraId="06711391" w14:textId="77777777" w:rsidR="00295140" w:rsidRPr="00BE15AB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971243" w14:paraId="05AE75A9" w14:textId="77777777" w:rsidTr="00FD55D0">
        <w:tc>
          <w:tcPr>
            <w:tcW w:w="1957" w:type="pct"/>
          </w:tcPr>
          <w:p w14:paraId="3B08524E" w14:textId="77777777" w:rsidR="00295140" w:rsidRPr="00BE15AB" w:rsidRDefault="007B4B8E" w:rsidP="00617B81">
            <w:pPr>
              <w:spacing w:before="60" w:after="60"/>
              <w:rPr>
                <w:szCs w:val="22"/>
              </w:rPr>
            </w:pPr>
            <w:r w:rsidRPr="00BE15AB">
              <w:lastRenderedPageBreak/>
              <w:t>Bardzo często</w:t>
            </w:r>
          </w:p>
          <w:p w14:paraId="494A4FC1" w14:textId="77777777" w:rsidR="00295140" w:rsidRPr="00BE15AB" w:rsidRDefault="007B4B8E" w:rsidP="00617B81">
            <w:pPr>
              <w:spacing w:before="60" w:after="60"/>
              <w:rPr>
                <w:szCs w:val="22"/>
              </w:rPr>
            </w:pPr>
            <w:r w:rsidRPr="00BE15AB">
              <w:t>(&gt; 1 zwierzę/10 leczonych zwierząt):</w:t>
            </w:r>
          </w:p>
        </w:tc>
        <w:tc>
          <w:tcPr>
            <w:tcW w:w="3043" w:type="pct"/>
          </w:tcPr>
          <w:p w14:paraId="42E27BA6" w14:textId="61BC96CA" w:rsidR="00295140" w:rsidRPr="00BE15AB" w:rsidRDefault="00F55BCD" w:rsidP="00EC4FD0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W</w:t>
            </w:r>
            <w:r w:rsidR="002A5E32">
              <w:rPr>
                <w:szCs w:val="22"/>
              </w:rPr>
              <w:t>ymioty</w:t>
            </w:r>
          </w:p>
        </w:tc>
      </w:tr>
      <w:tr w:rsidR="00971243" w14:paraId="72128786" w14:textId="77777777" w:rsidTr="00617B81">
        <w:tc>
          <w:tcPr>
            <w:tcW w:w="1957" w:type="pct"/>
          </w:tcPr>
          <w:p w14:paraId="10E48C85" w14:textId="77777777" w:rsidR="00295140" w:rsidRPr="00BE15AB" w:rsidRDefault="007B4B8E" w:rsidP="00617B81">
            <w:pPr>
              <w:spacing w:before="60" w:after="60"/>
              <w:rPr>
                <w:szCs w:val="22"/>
              </w:rPr>
            </w:pPr>
            <w:r w:rsidRPr="00BE15AB">
              <w:t>Często</w:t>
            </w:r>
          </w:p>
          <w:p w14:paraId="2AEF7FAB" w14:textId="77777777" w:rsidR="00295140" w:rsidRPr="00BE15AB" w:rsidRDefault="007B4B8E" w:rsidP="00617B81">
            <w:pPr>
              <w:spacing w:before="60" w:after="60"/>
              <w:rPr>
                <w:szCs w:val="22"/>
              </w:rPr>
            </w:pPr>
            <w:r w:rsidRPr="00BE15AB">
              <w:t>(1 do 10 zwierząt/100 leczonych zwierząt):</w:t>
            </w:r>
          </w:p>
        </w:tc>
        <w:tc>
          <w:tcPr>
            <w:tcW w:w="3043" w:type="pct"/>
          </w:tcPr>
          <w:p w14:paraId="064D0A84" w14:textId="6DB1E2A0" w:rsidR="00295140" w:rsidRDefault="00A07DD1" w:rsidP="00617B81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L</w:t>
            </w:r>
            <w:r w:rsidRPr="004447E3">
              <w:rPr>
                <w:szCs w:val="22"/>
              </w:rPr>
              <w:t>uźne s</w:t>
            </w:r>
            <w:smartTag w:uri="urn:schemas-microsoft-com:office:smarttags" w:element="PersonName">
              <w:r w:rsidRPr="004447E3">
                <w:rPr>
                  <w:szCs w:val="22"/>
                </w:rPr>
                <w:t>to</w:t>
              </w:r>
            </w:smartTag>
            <w:r w:rsidRPr="004447E3">
              <w:rPr>
                <w:szCs w:val="22"/>
              </w:rPr>
              <w:t>lce</w:t>
            </w:r>
            <w:r w:rsidR="00E51B13">
              <w:rPr>
                <w:szCs w:val="22"/>
              </w:rPr>
              <w:t>,</w:t>
            </w:r>
            <w:r w:rsidR="00E51B13">
              <w:t xml:space="preserve"> </w:t>
            </w:r>
            <w:r w:rsidR="00023827">
              <w:t>b</w:t>
            </w:r>
            <w:r w:rsidR="00E51B13" w:rsidRPr="004447E3">
              <w:rPr>
                <w:szCs w:val="22"/>
              </w:rPr>
              <w:t>iegunk</w:t>
            </w:r>
            <w:r w:rsidR="003B465E">
              <w:rPr>
                <w:szCs w:val="22"/>
              </w:rPr>
              <w:t>a</w:t>
            </w:r>
          </w:p>
          <w:p w14:paraId="4101832F" w14:textId="7A32EF9D" w:rsidR="00682584" w:rsidRPr="00BE15AB" w:rsidRDefault="00682584" w:rsidP="00EC4FD0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Brak apetytu</w:t>
            </w:r>
          </w:p>
        </w:tc>
      </w:tr>
      <w:tr w:rsidR="00971243" w14:paraId="267D6681" w14:textId="77777777" w:rsidTr="00FD55D0">
        <w:tc>
          <w:tcPr>
            <w:tcW w:w="1957" w:type="pct"/>
          </w:tcPr>
          <w:p w14:paraId="386A408C" w14:textId="77777777" w:rsidR="00295140" w:rsidRPr="00BE15AB" w:rsidRDefault="007B4B8E" w:rsidP="00617B81">
            <w:pPr>
              <w:spacing w:before="60" w:after="60"/>
              <w:rPr>
                <w:szCs w:val="22"/>
              </w:rPr>
            </w:pPr>
            <w:r w:rsidRPr="00BE15AB">
              <w:t>Bardzo rzadko</w:t>
            </w:r>
          </w:p>
          <w:p w14:paraId="5F3B0590" w14:textId="77777777" w:rsidR="00295140" w:rsidRPr="00BE15AB" w:rsidRDefault="007B4B8E" w:rsidP="00617B81">
            <w:pPr>
              <w:spacing w:before="60" w:after="60"/>
              <w:rPr>
                <w:szCs w:val="22"/>
              </w:rPr>
            </w:pPr>
            <w:r w:rsidRPr="00BE15AB">
              <w:t>(&lt; 1 zwierzę/10 000 leczonych zwierząt, włączając pojedyncze raporty):</w:t>
            </w:r>
          </w:p>
        </w:tc>
        <w:tc>
          <w:tcPr>
            <w:tcW w:w="3043" w:type="pct"/>
          </w:tcPr>
          <w:p w14:paraId="26520356" w14:textId="5C5013F4" w:rsidR="00251361" w:rsidRDefault="0012520B" w:rsidP="00AF337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Kr</w:t>
            </w:r>
            <w:r w:rsidRPr="003B0D28">
              <w:rPr>
                <w:szCs w:val="22"/>
              </w:rPr>
              <w:t>wawe wymioty</w:t>
            </w:r>
            <w:r w:rsidR="003134C1">
              <w:rPr>
                <w:szCs w:val="22"/>
              </w:rPr>
              <w:t xml:space="preserve">, </w:t>
            </w:r>
            <w:r w:rsidR="00023827">
              <w:rPr>
                <w:szCs w:val="22"/>
              </w:rPr>
              <w:t>k</w:t>
            </w:r>
            <w:r w:rsidR="00251361" w:rsidRPr="003B0D28">
              <w:rPr>
                <w:szCs w:val="22"/>
              </w:rPr>
              <w:t xml:space="preserve">rwotoczna biegunka </w:t>
            </w:r>
          </w:p>
          <w:p w14:paraId="476A7BF2" w14:textId="33742500" w:rsidR="003A4E13" w:rsidRDefault="003A4E13" w:rsidP="00AF337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47ADE">
              <w:t>Zapalenie trzustki</w:t>
            </w:r>
          </w:p>
          <w:p w14:paraId="23348C35" w14:textId="071A4CFD" w:rsidR="00F86089" w:rsidRDefault="00AE2394" w:rsidP="00AF337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P</w:t>
            </w:r>
            <w:r w:rsidR="00AF3375" w:rsidRPr="003B0D28">
              <w:rPr>
                <w:szCs w:val="22"/>
              </w:rPr>
              <w:t>odwyższony BUN</w:t>
            </w:r>
            <w:r w:rsidR="00FC5533">
              <w:rPr>
                <w:szCs w:val="22"/>
              </w:rPr>
              <w:t xml:space="preserve">, </w:t>
            </w:r>
            <w:r w:rsidR="00023827">
              <w:rPr>
                <w:szCs w:val="22"/>
              </w:rPr>
              <w:t>p</w:t>
            </w:r>
            <w:r w:rsidR="00AF3375" w:rsidRPr="003B0D28">
              <w:rPr>
                <w:szCs w:val="22"/>
              </w:rPr>
              <w:t>odwyższony poziom kreatyniny</w:t>
            </w:r>
            <w:r w:rsidR="00FC5533">
              <w:rPr>
                <w:szCs w:val="22"/>
              </w:rPr>
              <w:t>,</w:t>
            </w:r>
          </w:p>
          <w:p w14:paraId="765142D2" w14:textId="2FD71ED6" w:rsidR="00295140" w:rsidRPr="00776CA0" w:rsidRDefault="00EC4FD0" w:rsidP="00776CA0">
            <w:pPr>
              <w:tabs>
                <w:tab w:val="clear" w:pos="567"/>
              </w:tabs>
              <w:spacing w:line="240" w:lineRule="auto"/>
              <w:rPr>
                <w:szCs w:val="22"/>
                <w:vertAlign w:val="superscript"/>
              </w:rPr>
            </w:pPr>
            <w:r>
              <w:rPr>
                <w:szCs w:val="22"/>
              </w:rPr>
              <w:t>p</w:t>
            </w:r>
            <w:r w:rsidR="00F86089" w:rsidRPr="003B0D28">
              <w:rPr>
                <w:szCs w:val="22"/>
              </w:rPr>
              <w:t>odwyższony poziom enzymów wątrobowych</w:t>
            </w:r>
            <w:r w:rsidR="00CC20BF">
              <w:rPr>
                <w:szCs w:val="22"/>
              </w:rPr>
              <w:t xml:space="preserve">, </w:t>
            </w:r>
            <w:r>
              <w:rPr>
                <w:szCs w:val="22"/>
              </w:rPr>
              <w:t>h</w:t>
            </w:r>
            <w:r w:rsidR="00CC20BF" w:rsidRPr="00CC20BF">
              <w:rPr>
                <w:szCs w:val="22"/>
              </w:rPr>
              <w:t>ipoalbuminemia</w:t>
            </w:r>
            <w:r w:rsidR="00F9083E">
              <w:rPr>
                <w:szCs w:val="22"/>
                <w:vertAlign w:val="superscript"/>
              </w:rPr>
              <w:t>1</w:t>
            </w:r>
            <w:r w:rsidR="00CC20BF">
              <w:rPr>
                <w:szCs w:val="22"/>
              </w:rPr>
              <w:t xml:space="preserve">, </w:t>
            </w:r>
            <w:r w:rsidR="00023827">
              <w:rPr>
                <w:iCs/>
                <w:szCs w:val="22"/>
              </w:rPr>
              <w:t>h</w:t>
            </w:r>
            <w:r w:rsidR="00F95AFD">
              <w:rPr>
                <w:iCs/>
                <w:szCs w:val="22"/>
              </w:rPr>
              <w:t>i</w:t>
            </w:r>
            <w:r w:rsidR="00F63816">
              <w:rPr>
                <w:iCs/>
                <w:szCs w:val="22"/>
              </w:rPr>
              <w:t>poproteinemia</w:t>
            </w:r>
            <w:r w:rsidR="00F9083E"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05297C3A" w14:textId="3FA2E424" w:rsidR="00803F44" w:rsidRPr="002B2E23" w:rsidRDefault="00F9083E" w:rsidP="00803F4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1</w:t>
      </w:r>
      <w:r w:rsidR="005E3B49">
        <w:rPr>
          <w:szCs w:val="22"/>
          <w:vertAlign w:val="superscript"/>
        </w:rPr>
        <w:t xml:space="preserve"> </w:t>
      </w:r>
      <w:r w:rsidR="00023827">
        <w:rPr>
          <w:szCs w:val="22"/>
        </w:rPr>
        <w:t>o</w:t>
      </w:r>
      <w:r w:rsidR="00803F44" w:rsidRPr="002B2E23">
        <w:rPr>
          <w:szCs w:val="22"/>
        </w:rPr>
        <w:t>bjawy te nie były z</w:t>
      </w:r>
      <w:r w:rsidR="00803F44">
        <w:rPr>
          <w:szCs w:val="22"/>
        </w:rPr>
        <w:t>wiązane z żadnymi klinicznie istotnymi obserwacjami lub zdarzeniami</w:t>
      </w:r>
    </w:p>
    <w:p w14:paraId="752B5A35" w14:textId="77777777" w:rsidR="00747503" w:rsidRPr="00776CA0" w:rsidRDefault="00747503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58B92E3" w14:textId="77777777" w:rsidR="00EA3C07" w:rsidRDefault="00EA3C07" w:rsidP="00EA3C07">
      <w:r w:rsidRPr="00783A99">
        <w:t>Zgłaszanie działań niepożądanych jest</w:t>
      </w:r>
      <w:r w:rsidRPr="004063BC">
        <w:t xml:space="preserve"> istotne, ponieważ umożliwia ciągłe monitorowanie bezpieczeństwa stosowania weterynaryjnego produktu leczniczego. Zgłoszenia </w:t>
      </w:r>
      <w:r w:rsidRPr="00446BA5">
        <w:t>najlepiej</w:t>
      </w:r>
      <w:r w:rsidRPr="004063BC">
        <w:t xml:space="preserve"> przesłać za pośrednictwem lekarza weterynarii </w:t>
      </w:r>
      <w:r w:rsidRPr="00D101B6">
        <w:t>do właściwych organów krajowych</w:t>
      </w:r>
      <w:r w:rsidRPr="00783A99">
        <w:t xml:space="preserve"> lub do podmiotu odpowiedzialnego </w:t>
      </w:r>
      <w:r w:rsidRPr="004063BC">
        <w:t xml:space="preserve">za pośrednictwem krajowego systemu zgłaszania. </w:t>
      </w:r>
      <w:r>
        <w:t>Patrz również punkt „Dane kontaktowe”</w:t>
      </w:r>
      <w:r w:rsidRPr="004063BC">
        <w:t xml:space="preserve"> </w:t>
      </w:r>
      <w:r>
        <w:t>w</w:t>
      </w:r>
      <w:r w:rsidRPr="004063BC">
        <w:t xml:space="preserve"> ulot</w:t>
      </w:r>
      <w:r>
        <w:t>ce</w:t>
      </w:r>
      <w:r w:rsidRPr="004063BC">
        <w:t xml:space="preserve"> informacyjnej.</w:t>
      </w:r>
    </w:p>
    <w:p w14:paraId="2D2909E5" w14:textId="77777777" w:rsidR="005D572E" w:rsidRPr="00291744" w:rsidRDefault="005D572E" w:rsidP="00247A48">
      <w:pPr>
        <w:rPr>
          <w:szCs w:val="22"/>
        </w:rPr>
      </w:pPr>
      <w:bookmarkStart w:id="0" w:name="_Hlk66891708"/>
      <w:bookmarkStart w:id="1" w:name="_Hlk83115233"/>
    </w:p>
    <w:bookmarkEnd w:id="0"/>
    <w:bookmarkEnd w:id="1"/>
    <w:p w14:paraId="43552EBB" w14:textId="77777777" w:rsidR="00C114FF" w:rsidRDefault="007B4B8E" w:rsidP="00B13B6D">
      <w:pPr>
        <w:pStyle w:val="Style1"/>
      </w:pPr>
      <w:r w:rsidRPr="00BE15AB">
        <w:t>3.7</w:t>
      </w:r>
      <w:r w:rsidRPr="00BE15AB">
        <w:tab/>
        <w:t>Stosowanie w ciąży, podczas laktacji lub w okresie nieśności</w:t>
      </w:r>
    </w:p>
    <w:p w14:paraId="30199246" w14:textId="77777777" w:rsidR="0005002F" w:rsidRDefault="0005002F" w:rsidP="00B13B6D">
      <w:pPr>
        <w:pStyle w:val="Style1"/>
      </w:pPr>
    </w:p>
    <w:p w14:paraId="24B3CA6E" w14:textId="77777777" w:rsidR="00CA5A2C" w:rsidRPr="004447E3" w:rsidRDefault="00CA5A2C" w:rsidP="00CA5A2C">
      <w:pPr>
        <w:rPr>
          <w:szCs w:val="22"/>
        </w:rPr>
      </w:pPr>
      <w:r w:rsidRPr="004447E3">
        <w:rPr>
          <w:szCs w:val="22"/>
        </w:rPr>
        <w:t>Nie s</w:t>
      </w:r>
      <w:smartTag w:uri="urn:schemas-microsoft-com:office:smarttags" w:element="PersonName">
        <w:r w:rsidRPr="004447E3">
          <w:rPr>
            <w:szCs w:val="22"/>
          </w:rPr>
          <w:t>to</w:t>
        </w:r>
      </w:smartTag>
      <w:r w:rsidRPr="004447E3">
        <w:rPr>
          <w:szCs w:val="22"/>
        </w:rPr>
        <w:t>sować u zwierząt w okresie ciąży, w czasie laktacji ani u zwierząt zarodowych, ponieważ bezpieczeństwo grapiprantu nie zostało określone dla psów w okresie ciąży i w czasie laktacji ani u psów używanych do rozrodu.</w:t>
      </w:r>
    </w:p>
    <w:p w14:paraId="15A02A7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8AB05D" w14:textId="77777777" w:rsidR="00C114FF" w:rsidRPr="00BE15AB" w:rsidRDefault="007B4B8E" w:rsidP="00B13B6D">
      <w:pPr>
        <w:pStyle w:val="Style1"/>
      </w:pPr>
      <w:r w:rsidRPr="00BE15AB">
        <w:t>3.8</w:t>
      </w:r>
      <w:r w:rsidRPr="00BE15AB">
        <w:tab/>
        <w:t>Interakcje z innymi produktami leczniczymi i inne rodzaje interakcji</w:t>
      </w:r>
    </w:p>
    <w:p w14:paraId="2F9CA70B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69137C" w14:textId="77777777" w:rsidR="001537AD" w:rsidRPr="004447E3" w:rsidRDefault="001537AD" w:rsidP="001537AD">
      <w:pPr>
        <w:tabs>
          <w:tab w:val="clear" w:pos="567"/>
        </w:tabs>
        <w:spacing w:line="240" w:lineRule="auto"/>
        <w:rPr>
          <w:szCs w:val="22"/>
        </w:rPr>
      </w:pPr>
      <w:r w:rsidRPr="004447E3">
        <w:rPr>
          <w:szCs w:val="22"/>
        </w:rPr>
        <w:t>Wcześniejsze leczenie innymi substancjami przeciwzapalnymi może powodować wystąpienie dodatkowych działań niepożądanych lub zwiększyć ich nasilenie. Z tego względu po s</w:t>
      </w:r>
      <w:smartTag w:uri="urn:schemas-microsoft-com:office:smarttags" w:element="PersonName">
        <w:r w:rsidRPr="004447E3">
          <w:rPr>
            <w:szCs w:val="22"/>
          </w:rPr>
          <w:t>to</w:t>
        </w:r>
      </w:smartTag>
      <w:r w:rsidRPr="004447E3">
        <w:rPr>
          <w:szCs w:val="22"/>
        </w:rPr>
        <w:t>sowaniu tego typu substancji, przed rozpoczęciem leczenia niniejszym produktem leczniczym weterynaryjnym należy zachować odpowiedni okres czasu. Długość tego okresu powinna uwzględniać właściwości farmakokinetyczne wcześniej s</w:t>
      </w:r>
      <w:smartTag w:uri="urn:schemas-microsoft-com:office:smarttags" w:element="PersonName">
        <w:r w:rsidRPr="004447E3">
          <w:rPr>
            <w:szCs w:val="22"/>
          </w:rPr>
          <w:t>to</w:t>
        </w:r>
      </w:smartTag>
      <w:r w:rsidRPr="004447E3">
        <w:rPr>
          <w:szCs w:val="22"/>
        </w:rPr>
        <w:t>sowanych produktów.</w:t>
      </w:r>
    </w:p>
    <w:p w14:paraId="2E1D5E94" w14:textId="77777777" w:rsidR="001537AD" w:rsidRPr="004447E3" w:rsidRDefault="001537AD" w:rsidP="001537AD">
      <w:pPr>
        <w:tabs>
          <w:tab w:val="clear" w:pos="567"/>
        </w:tabs>
        <w:spacing w:line="240" w:lineRule="auto"/>
        <w:rPr>
          <w:szCs w:val="22"/>
        </w:rPr>
      </w:pPr>
    </w:p>
    <w:p w14:paraId="37C22823" w14:textId="23141122" w:rsidR="001537AD" w:rsidRPr="004447E3" w:rsidRDefault="001537AD" w:rsidP="001537AD">
      <w:pPr>
        <w:tabs>
          <w:tab w:val="clear" w:pos="567"/>
        </w:tabs>
        <w:spacing w:line="240" w:lineRule="auto"/>
        <w:rPr>
          <w:szCs w:val="22"/>
        </w:rPr>
      </w:pPr>
      <w:r w:rsidRPr="004447E3">
        <w:rPr>
          <w:szCs w:val="22"/>
        </w:rPr>
        <w:t>Nie badano jednoczesnego s</w:t>
      </w:r>
      <w:smartTag w:uri="urn:schemas-microsoft-com:office:smarttags" w:element="PersonName">
        <w:r w:rsidRPr="004447E3">
          <w:rPr>
            <w:szCs w:val="22"/>
          </w:rPr>
          <w:t>to</w:t>
        </w:r>
      </w:smartTag>
      <w:r w:rsidRPr="004447E3">
        <w:rPr>
          <w:szCs w:val="22"/>
        </w:rPr>
        <w:t>sowania wiążących się z białkami produktów leczniczych weterynaryjnych z grapiprantem. Częs</w:t>
      </w:r>
      <w:smartTag w:uri="urn:schemas-microsoft-com:office:smarttags" w:element="PersonName">
        <w:r w:rsidRPr="004447E3">
          <w:rPr>
            <w:szCs w:val="22"/>
          </w:rPr>
          <w:t>to</w:t>
        </w:r>
      </w:smartTag>
      <w:r w:rsidRPr="004447E3">
        <w:rPr>
          <w:szCs w:val="22"/>
        </w:rPr>
        <w:t xml:space="preserve"> s</w:t>
      </w:r>
      <w:smartTag w:uri="urn:schemas-microsoft-com:office:smarttags" w:element="PersonName">
        <w:r w:rsidRPr="004447E3">
          <w:rPr>
            <w:szCs w:val="22"/>
          </w:rPr>
          <w:t>to</w:t>
        </w:r>
      </w:smartTag>
      <w:r w:rsidRPr="004447E3">
        <w:rPr>
          <w:szCs w:val="22"/>
        </w:rPr>
        <w:t xml:space="preserve">sowanymi produktami leczniczymi weterynaryjnymi wiążącymi się z białkami są produkty o działaniu nasercowym, przeciwdrgawkowym i produkty </w:t>
      </w:r>
      <w:r w:rsidR="00D57F86">
        <w:rPr>
          <w:szCs w:val="22"/>
        </w:rPr>
        <w:t xml:space="preserve">lecznicze </w:t>
      </w:r>
      <w:r w:rsidRPr="004447E3">
        <w:rPr>
          <w:szCs w:val="22"/>
        </w:rPr>
        <w:t>behawioralne.</w:t>
      </w:r>
    </w:p>
    <w:p w14:paraId="2E8A8E6C" w14:textId="6851B812" w:rsidR="001537AD" w:rsidRPr="004447E3" w:rsidRDefault="001537AD" w:rsidP="001537AD">
      <w:pPr>
        <w:tabs>
          <w:tab w:val="clear" w:pos="567"/>
        </w:tabs>
        <w:spacing w:line="240" w:lineRule="auto"/>
        <w:rPr>
          <w:szCs w:val="22"/>
        </w:rPr>
      </w:pPr>
      <w:r w:rsidRPr="004447E3">
        <w:rPr>
          <w:szCs w:val="22"/>
        </w:rPr>
        <w:t>Należy moni</w:t>
      </w:r>
      <w:smartTag w:uri="urn:schemas-microsoft-com:office:smarttags" w:element="PersonName">
        <w:r w:rsidRPr="004447E3">
          <w:rPr>
            <w:szCs w:val="22"/>
          </w:rPr>
          <w:t>to</w:t>
        </w:r>
      </w:smartTag>
      <w:r w:rsidRPr="004447E3">
        <w:rPr>
          <w:szCs w:val="22"/>
        </w:rPr>
        <w:t xml:space="preserve">rować interakcje </w:t>
      </w:r>
      <w:r w:rsidR="004F5F89">
        <w:rPr>
          <w:szCs w:val="22"/>
        </w:rPr>
        <w:t>produktów leczniczych weter</w:t>
      </w:r>
      <w:r w:rsidR="00C05A50">
        <w:rPr>
          <w:szCs w:val="22"/>
        </w:rPr>
        <w:t>ynaryjnych</w:t>
      </w:r>
      <w:r w:rsidR="004F5F89" w:rsidRPr="004447E3">
        <w:rPr>
          <w:szCs w:val="22"/>
        </w:rPr>
        <w:t xml:space="preserve"> </w:t>
      </w:r>
      <w:r w:rsidRPr="004447E3">
        <w:rPr>
          <w:szCs w:val="22"/>
        </w:rPr>
        <w:t>u zwierząt wymagających leczenia wspomagającego.</w:t>
      </w:r>
    </w:p>
    <w:p w14:paraId="7DA70188" w14:textId="0960BC52" w:rsidR="00C90EDA" w:rsidRPr="00BE15AB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F2C86E" w14:textId="77777777" w:rsidR="00C114FF" w:rsidRPr="00BE15AB" w:rsidRDefault="007B4B8E" w:rsidP="00B13B6D">
      <w:pPr>
        <w:pStyle w:val="Style1"/>
      </w:pPr>
      <w:r w:rsidRPr="00BE15AB">
        <w:t>3.9</w:t>
      </w:r>
      <w:r w:rsidRPr="00BE15AB">
        <w:tab/>
        <w:t>Droga podania i dawkowanie</w:t>
      </w:r>
    </w:p>
    <w:p w14:paraId="1EFFDE7B" w14:textId="77777777" w:rsidR="00145D34" w:rsidRPr="00BE15AB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614B07D" w14:textId="77777777" w:rsidR="003A7059" w:rsidRPr="004447E3" w:rsidRDefault="003A7059" w:rsidP="003A7059">
      <w:pPr>
        <w:pStyle w:val="CommentText"/>
        <w:spacing w:line="240" w:lineRule="auto"/>
        <w:rPr>
          <w:sz w:val="22"/>
          <w:szCs w:val="22"/>
        </w:rPr>
      </w:pPr>
      <w:r w:rsidRPr="004447E3">
        <w:rPr>
          <w:sz w:val="22"/>
          <w:szCs w:val="22"/>
        </w:rPr>
        <w:t>Podanie doustne.</w:t>
      </w:r>
    </w:p>
    <w:p w14:paraId="52C37B0F" w14:textId="77777777" w:rsidR="003A7059" w:rsidRPr="004447E3" w:rsidRDefault="003A7059" w:rsidP="003A7059">
      <w:pPr>
        <w:pStyle w:val="CommentText"/>
        <w:spacing w:line="240" w:lineRule="auto"/>
        <w:rPr>
          <w:sz w:val="22"/>
          <w:szCs w:val="22"/>
        </w:rPr>
      </w:pPr>
    </w:p>
    <w:p w14:paraId="3054CB83" w14:textId="16D2B0B6" w:rsidR="003A7059" w:rsidRPr="004447E3" w:rsidRDefault="003A7059" w:rsidP="003A7059">
      <w:pPr>
        <w:pStyle w:val="CommentText"/>
        <w:spacing w:line="240" w:lineRule="auto"/>
        <w:rPr>
          <w:sz w:val="22"/>
          <w:szCs w:val="22"/>
        </w:rPr>
      </w:pPr>
      <w:r w:rsidRPr="004447E3">
        <w:rPr>
          <w:sz w:val="22"/>
          <w:szCs w:val="22"/>
        </w:rPr>
        <w:t>Produkt leczniczy weterynaryjny należy podawać na pusty żołądek (np. rano) i co najmniej jedną godzinę przed następnym posiłkiem, raz na dobę, w dawce docelowej 2 mg na kg masy ciała</w:t>
      </w:r>
      <w:r w:rsidR="00C52CE6">
        <w:rPr>
          <w:sz w:val="22"/>
          <w:szCs w:val="22"/>
        </w:rPr>
        <w:t xml:space="preserve"> (m</w:t>
      </w:r>
      <w:r w:rsidR="004445FB">
        <w:rPr>
          <w:sz w:val="22"/>
          <w:szCs w:val="22"/>
        </w:rPr>
        <w:t>.</w:t>
      </w:r>
      <w:r w:rsidR="00C52CE6">
        <w:rPr>
          <w:sz w:val="22"/>
          <w:szCs w:val="22"/>
        </w:rPr>
        <w:t>c</w:t>
      </w:r>
      <w:r w:rsidR="00E713E3">
        <w:rPr>
          <w:sz w:val="22"/>
          <w:szCs w:val="22"/>
        </w:rPr>
        <w:t>.)</w:t>
      </w:r>
      <w:r w:rsidRPr="004447E3">
        <w:rPr>
          <w:sz w:val="22"/>
          <w:szCs w:val="22"/>
        </w:rPr>
        <w:t>.</w:t>
      </w:r>
    </w:p>
    <w:p w14:paraId="40102AFE" w14:textId="77777777" w:rsidR="003A7059" w:rsidRPr="004447E3" w:rsidRDefault="003A7059" w:rsidP="003A7059">
      <w:pPr>
        <w:pStyle w:val="CommentText"/>
        <w:spacing w:line="240" w:lineRule="auto"/>
        <w:rPr>
          <w:sz w:val="22"/>
          <w:szCs w:val="22"/>
        </w:rPr>
      </w:pPr>
    </w:p>
    <w:p w14:paraId="474E3A46" w14:textId="77777777" w:rsidR="003A7059" w:rsidRPr="004447E3" w:rsidRDefault="003A7059" w:rsidP="003A7059">
      <w:pPr>
        <w:pStyle w:val="CommentText"/>
        <w:spacing w:line="240" w:lineRule="auto"/>
        <w:rPr>
          <w:sz w:val="22"/>
          <w:szCs w:val="22"/>
        </w:rPr>
      </w:pPr>
      <w:r w:rsidRPr="004447E3">
        <w:rPr>
          <w:sz w:val="22"/>
          <w:szCs w:val="22"/>
        </w:rPr>
        <w:t>Czas trwania leczenia zależy od obserwowanej reakcji na leczenie. Ponieważ badania terenowe trwały nie dłużej niż 28 dni, długotrwałe leczenie powinno być prowadzone ostrożnie i pod stałym nadzorem lekarza weterynarii.</w:t>
      </w:r>
    </w:p>
    <w:p w14:paraId="1F1E6DC4" w14:textId="77777777" w:rsidR="003A7059" w:rsidRPr="004447E3" w:rsidRDefault="003A7059" w:rsidP="003A7059">
      <w:pPr>
        <w:spacing w:line="240" w:lineRule="auto"/>
        <w:rPr>
          <w:szCs w:val="22"/>
        </w:rPr>
      </w:pPr>
      <w:r w:rsidRPr="004447E3">
        <w:rPr>
          <w:szCs w:val="22"/>
        </w:rPr>
        <w:t>Ponieważ objawy kliniczne choroby zwyrodnieniowej stawów u psów nasilają się i zmniejszają, u niektórych psów może być korzystne s</w:t>
      </w:r>
      <w:smartTag w:uri="urn:schemas-microsoft-com:office:smarttags" w:element="PersonName">
        <w:r w:rsidRPr="004447E3">
          <w:rPr>
            <w:szCs w:val="22"/>
          </w:rPr>
          <w:t>to</w:t>
        </w:r>
      </w:smartTag>
      <w:r w:rsidRPr="004447E3">
        <w:rPr>
          <w:szCs w:val="22"/>
        </w:rPr>
        <w:t>sowanie leczenia przerywanego.</w:t>
      </w:r>
    </w:p>
    <w:p w14:paraId="6D65C5FA" w14:textId="77777777" w:rsidR="003A7059" w:rsidRPr="004447E3" w:rsidRDefault="003A7059" w:rsidP="003A7059">
      <w:pPr>
        <w:pStyle w:val="CommentText"/>
        <w:spacing w:line="240" w:lineRule="auto"/>
        <w:rPr>
          <w:sz w:val="22"/>
          <w:szCs w:val="22"/>
        </w:rPr>
      </w:pPr>
    </w:p>
    <w:p w14:paraId="7468F67D" w14:textId="77777777" w:rsidR="003A7059" w:rsidRPr="004447E3" w:rsidRDefault="003A7059" w:rsidP="003A7059">
      <w:pPr>
        <w:spacing w:line="240" w:lineRule="auto"/>
        <w:rPr>
          <w:szCs w:val="22"/>
        </w:rPr>
      </w:pPr>
      <w:r w:rsidRPr="004447E3">
        <w:rPr>
          <w:szCs w:val="22"/>
        </w:rPr>
        <w:t>Następującą liczbę tabletek należy podawać raz na dobę:</w:t>
      </w:r>
    </w:p>
    <w:p w14:paraId="79C4FE2F" w14:textId="77777777" w:rsidR="003A7059" w:rsidRPr="004447E3" w:rsidRDefault="003A7059" w:rsidP="003A7059">
      <w:pPr>
        <w:rPr>
          <w:szCs w:val="22"/>
        </w:rPr>
      </w:pPr>
    </w:p>
    <w:tbl>
      <w:tblPr>
        <w:tblW w:w="7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417"/>
        <w:gridCol w:w="1417"/>
      </w:tblGrid>
      <w:tr w:rsidR="003A7059" w:rsidRPr="004447E3" w14:paraId="2C853B3D" w14:textId="77777777" w:rsidTr="00522709">
        <w:trPr>
          <w:trHeight w:val="300"/>
        </w:trPr>
        <w:tc>
          <w:tcPr>
            <w:tcW w:w="2093" w:type="dxa"/>
            <w:shd w:val="clear" w:color="auto" w:fill="auto"/>
          </w:tcPr>
          <w:p w14:paraId="15585D1E" w14:textId="77777777" w:rsidR="003A7059" w:rsidRPr="004447E3" w:rsidRDefault="003A7059" w:rsidP="00522709">
            <w:pPr>
              <w:jc w:val="center"/>
              <w:rPr>
                <w:color w:val="000000"/>
                <w:szCs w:val="22"/>
              </w:rPr>
            </w:pPr>
            <w:r w:rsidRPr="004447E3">
              <w:rPr>
                <w:color w:val="000000"/>
                <w:szCs w:val="22"/>
              </w:rPr>
              <w:lastRenderedPageBreak/>
              <w:t>Masa ciała (kg)</w:t>
            </w:r>
          </w:p>
        </w:tc>
        <w:tc>
          <w:tcPr>
            <w:tcW w:w="1417" w:type="dxa"/>
            <w:shd w:val="clear" w:color="auto" w:fill="auto"/>
            <w:noWrap/>
          </w:tcPr>
          <w:p w14:paraId="79F90E1A" w14:textId="77777777" w:rsidR="003A7059" w:rsidRPr="004447E3" w:rsidRDefault="003A7059" w:rsidP="00522709">
            <w:pPr>
              <w:jc w:val="center"/>
              <w:rPr>
                <w:color w:val="000000"/>
                <w:szCs w:val="22"/>
              </w:rPr>
            </w:pPr>
            <w:r w:rsidRPr="004447E3">
              <w:rPr>
                <w:color w:val="000000"/>
                <w:szCs w:val="22"/>
              </w:rPr>
              <w:t>Tabletka</w:t>
            </w:r>
          </w:p>
          <w:p w14:paraId="629F0337" w14:textId="77777777" w:rsidR="003A7059" w:rsidRPr="004447E3" w:rsidRDefault="003A7059" w:rsidP="00522709">
            <w:pPr>
              <w:jc w:val="center"/>
              <w:rPr>
                <w:rFonts w:eastAsia="Calibri"/>
                <w:color w:val="000000"/>
                <w:szCs w:val="22"/>
              </w:rPr>
            </w:pPr>
            <w:r w:rsidRPr="004447E3">
              <w:rPr>
                <w:color w:val="000000"/>
                <w:szCs w:val="22"/>
              </w:rPr>
              <w:t>20 mg</w:t>
            </w:r>
          </w:p>
        </w:tc>
        <w:tc>
          <w:tcPr>
            <w:tcW w:w="1418" w:type="dxa"/>
            <w:shd w:val="clear" w:color="auto" w:fill="auto"/>
            <w:noWrap/>
          </w:tcPr>
          <w:p w14:paraId="094B33EB" w14:textId="77777777" w:rsidR="003A7059" w:rsidRPr="004447E3" w:rsidRDefault="003A7059" w:rsidP="00522709">
            <w:pPr>
              <w:jc w:val="center"/>
              <w:rPr>
                <w:color w:val="000000"/>
                <w:szCs w:val="22"/>
              </w:rPr>
            </w:pPr>
            <w:r w:rsidRPr="004447E3">
              <w:rPr>
                <w:color w:val="000000"/>
                <w:szCs w:val="22"/>
              </w:rPr>
              <w:t>Tabletka</w:t>
            </w:r>
          </w:p>
          <w:p w14:paraId="2513772B" w14:textId="77777777" w:rsidR="003A7059" w:rsidRPr="004447E3" w:rsidRDefault="003A7059" w:rsidP="00522709">
            <w:pPr>
              <w:jc w:val="center"/>
              <w:rPr>
                <w:rFonts w:eastAsia="Calibri"/>
                <w:color w:val="000000"/>
                <w:szCs w:val="22"/>
              </w:rPr>
            </w:pPr>
            <w:r w:rsidRPr="004447E3">
              <w:rPr>
                <w:color w:val="000000"/>
                <w:szCs w:val="22"/>
              </w:rPr>
              <w:t>60 mg</w:t>
            </w:r>
          </w:p>
        </w:tc>
        <w:tc>
          <w:tcPr>
            <w:tcW w:w="1417" w:type="dxa"/>
            <w:shd w:val="clear" w:color="auto" w:fill="auto"/>
            <w:noWrap/>
          </w:tcPr>
          <w:p w14:paraId="76CF7A52" w14:textId="77777777" w:rsidR="003A7059" w:rsidRPr="004447E3" w:rsidRDefault="003A7059" w:rsidP="00522709">
            <w:pPr>
              <w:jc w:val="center"/>
              <w:rPr>
                <w:rFonts w:eastAsia="Calibri"/>
                <w:color w:val="000000"/>
                <w:szCs w:val="22"/>
              </w:rPr>
            </w:pPr>
            <w:r w:rsidRPr="004447E3">
              <w:rPr>
                <w:color w:val="000000"/>
                <w:szCs w:val="22"/>
              </w:rPr>
              <w:t>Tabletka</w:t>
            </w:r>
            <w:r w:rsidRPr="004447E3">
              <w:rPr>
                <w:szCs w:val="22"/>
              </w:rPr>
              <w:br/>
              <w:t>100 mg</w:t>
            </w:r>
          </w:p>
        </w:tc>
        <w:tc>
          <w:tcPr>
            <w:tcW w:w="1417" w:type="dxa"/>
          </w:tcPr>
          <w:p w14:paraId="1094837E" w14:textId="7A21DE2E" w:rsidR="003A7059" w:rsidRPr="004447E3" w:rsidRDefault="003A7059" w:rsidP="00522709">
            <w:pPr>
              <w:jc w:val="center"/>
              <w:rPr>
                <w:color w:val="000000"/>
                <w:szCs w:val="22"/>
              </w:rPr>
            </w:pPr>
            <w:r w:rsidRPr="004447E3">
              <w:rPr>
                <w:color w:val="000000"/>
                <w:szCs w:val="22"/>
              </w:rPr>
              <w:t>Zakres dawek (mg/kg m</w:t>
            </w:r>
            <w:r w:rsidR="009C613A">
              <w:rPr>
                <w:color w:val="000000"/>
                <w:szCs w:val="22"/>
              </w:rPr>
              <w:t>.</w:t>
            </w:r>
            <w:r w:rsidRPr="004447E3">
              <w:rPr>
                <w:color w:val="000000"/>
                <w:szCs w:val="22"/>
              </w:rPr>
              <w:t>c.)</w:t>
            </w:r>
          </w:p>
        </w:tc>
      </w:tr>
      <w:tr w:rsidR="003A7059" w:rsidRPr="004447E3" w14:paraId="5E3E7963" w14:textId="77777777" w:rsidTr="00522709">
        <w:trPr>
          <w:trHeight w:val="300"/>
        </w:trPr>
        <w:tc>
          <w:tcPr>
            <w:tcW w:w="2093" w:type="dxa"/>
            <w:shd w:val="clear" w:color="auto" w:fill="auto"/>
          </w:tcPr>
          <w:p w14:paraId="0E3E4B0F" w14:textId="77777777" w:rsidR="003A7059" w:rsidRPr="004447E3" w:rsidRDefault="003A7059" w:rsidP="00522709">
            <w:pPr>
              <w:jc w:val="center"/>
              <w:rPr>
                <w:color w:val="000000"/>
                <w:szCs w:val="22"/>
              </w:rPr>
            </w:pPr>
            <w:r w:rsidRPr="004447E3">
              <w:rPr>
                <w:color w:val="000000"/>
                <w:szCs w:val="22"/>
              </w:rPr>
              <w:t>3,6</w:t>
            </w:r>
            <w:r>
              <w:rPr>
                <w:color w:val="000000"/>
                <w:szCs w:val="22"/>
              </w:rPr>
              <w:noBreakHyphen/>
            </w:r>
            <w:r w:rsidRPr="004447E3">
              <w:rPr>
                <w:color w:val="000000"/>
                <w:szCs w:val="22"/>
              </w:rPr>
              <w:t>6,8</w:t>
            </w:r>
          </w:p>
        </w:tc>
        <w:tc>
          <w:tcPr>
            <w:tcW w:w="1417" w:type="dxa"/>
            <w:shd w:val="clear" w:color="auto" w:fill="auto"/>
            <w:noWrap/>
          </w:tcPr>
          <w:p w14:paraId="06D24543" w14:textId="77777777" w:rsidR="003A7059" w:rsidRPr="004447E3" w:rsidRDefault="003A7059" w:rsidP="00522709">
            <w:pPr>
              <w:jc w:val="center"/>
              <w:rPr>
                <w:rFonts w:eastAsia="Calibri"/>
                <w:color w:val="000000"/>
                <w:szCs w:val="22"/>
              </w:rPr>
            </w:pPr>
            <w:r w:rsidRPr="004447E3">
              <w:rPr>
                <w:color w:val="000000"/>
                <w:szCs w:val="22"/>
              </w:rPr>
              <w:t>0,5</w:t>
            </w:r>
          </w:p>
        </w:tc>
        <w:tc>
          <w:tcPr>
            <w:tcW w:w="1418" w:type="dxa"/>
            <w:shd w:val="clear" w:color="auto" w:fill="auto"/>
            <w:noWrap/>
          </w:tcPr>
          <w:p w14:paraId="4BB7C167" w14:textId="77777777" w:rsidR="003A7059" w:rsidRPr="004447E3" w:rsidRDefault="003A7059" w:rsidP="00522709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638370BF" w14:textId="77777777" w:rsidR="003A7059" w:rsidRPr="004447E3" w:rsidRDefault="003A7059" w:rsidP="00522709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</w:tcPr>
          <w:p w14:paraId="4489318B" w14:textId="77777777" w:rsidR="003A7059" w:rsidRPr="004447E3" w:rsidRDefault="003A7059" w:rsidP="00522709">
            <w:pPr>
              <w:jc w:val="center"/>
              <w:rPr>
                <w:szCs w:val="22"/>
              </w:rPr>
            </w:pPr>
            <w:r w:rsidRPr="004447E3">
              <w:rPr>
                <w:szCs w:val="22"/>
              </w:rPr>
              <w:t>1,5</w:t>
            </w:r>
            <w:r>
              <w:rPr>
                <w:szCs w:val="22"/>
              </w:rPr>
              <w:noBreakHyphen/>
            </w:r>
            <w:r w:rsidRPr="004447E3">
              <w:rPr>
                <w:szCs w:val="22"/>
              </w:rPr>
              <w:t>2,7</w:t>
            </w:r>
          </w:p>
        </w:tc>
      </w:tr>
      <w:tr w:rsidR="003A7059" w:rsidRPr="004447E3" w14:paraId="1C424369" w14:textId="77777777" w:rsidTr="00522709">
        <w:trPr>
          <w:trHeight w:val="300"/>
        </w:trPr>
        <w:tc>
          <w:tcPr>
            <w:tcW w:w="2093" w:type="dxa"/>
            <w:shd w:val="clear" w:color="auto" w:fill="auto"/>
          </w:tcPr>
          <w:p w14:paraId="1DC3A747" w14:textId="77777777" w:rsidR="003A7059" w:rsidRPr="004447E3" w:rsidRDefault="003A7059" w:rsidP="00522709">
            <w:pPr>
              <w:jc w:val="center"/>
              <w:rPr>
                <w:color w:val="000000"/>
                <w:szCs w:val="22"/>
              </w:rPr>
            </w:pPr>
            <w:r w:rsidRPr="004447E3">
              <w:rPr>
                <w:color w:val="000000"/>
                <w:szCs w:val="22"/>
              </w:rPr>
              <w:t>6,9</w:t>
            </w:r>
            <w:r>
              <w:rPr>
                <w:color w:val="000000"/>
                <w:szCs w:val="22"/>
              </w:rPr>
              <w:noBreakHyphen/>
            </w:r>
            <w:r w:rsidRPr="004447E3">
              <w:rPr>
                <w:color w:val="000000"/>
                <w:szCs w:val="22"/>
              </w:rPr>
              <w:t>13,6</w:t>
            </w:r>
          </w:p>
        </w:tc>
        <w:tc>
          <w:tcPr>
            <w:tcW w:w="1417" w:type="dxa"/>
            <w:shd w:val="clear" w:color="auto" w:fill="auto"/>
            <w:noWrap/>
          </w:tcPr>
          <w:p w14:paraId="75F5203D" w14:textId="77777777" w:rsidR="003A7059" w:rsidRPr="004447E3" w:rsidRDefault="003A7059" w:rsidP="00522709">
            <w:pPr>
              <w:jc w:val="center"/>
              <w:rPr>
                <w:rFonts w:eastAsia="Calibri"/>
                <w:color w:val="000000"/>
                <w:szCs w:val="22"/>
              </w:rPr>
            </w:pPr>
            <w:r w:rsidRPr="004447E3">
              <w:rPr>
                <w:color w:val="000000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</w:tcPr>
          <w:p w14:paraId="57E2AF02" w14:textId="77777777" w:rsidR="003A7059" w:rsidRPr="004447E3" w:rsidRDefault="003A7059" w:rsidP="00522709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2E60BA77" w14:textId="77777777" w:rsidR="003A7059" w:rsidRPr="004447E3" w:rsidRDefault="003A7059" w:rsidP="00522709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</w:tcPr>
          <w:p w14:paraId="4FDE3FCC" w14:textId="77777777" w:rsidR="003A7059" w:rsidRPr="004447E3" w:rsidRDefault="003A7059" w:rsidP="00522709">
            <w:pPr>
              <w:jc w:val="center"/>
              <w:rPr>
                <w:szCs w:val="22"/>
              </w:rPr>
            </w:pPr>
            <w:r w:rsidRPr="004447E3">
              <w:rPr>
                <w:szCs w:val="22"/>
              </w:rPr>
              <w:t>1,5</w:t>
            </w:r>
            <w:r>
              <w:rPr>
                <w:szCs w:val="22"/>
              </w:rPr>
              <w:noBreakHyphen/>
            </w:r>
            <w:r w:rsidRPr="004447E3">
              <w:rPr>
                <w:szCs w:val="22"/>
              </w:rPr>
              <w:t>2,9</w:t>
            </w:r>
          </w:p>
        </w:tc>
      </w:tr>
      <w:tr w:rsidR="003A7059" w:rsidRPr="004447E3" w14:paraId="6C359630" w14:textId="77777777" w:rsidTr="00522709">
        <w:trPr>
          <w:trHeight w:val="300"/>
        </w:trPr>
        <w:tc>
          <w:tcPr>
            <w:tcW w:w="2093" w:type="dxa"/>
            <w:shd w:val="clear" w:color="auto" w:fill="auto"/>
          </w:tcPr>
          <w:p w14:paraId="3520E5DE" w14:textId="77777777" w:rsidR="003A7059" w:rsidRPr="004447E3" w:rsidRDefault="003A7059" w:rsidP="00522709">
            <w:pPr>
              <w:jc w:val="center"/>
              <w:rPr>
                <w:rFonts w:eastAsia="Calibri"/>
                <w:color w:val="000000"/>
                <w:szCs w:val="22"/>
              </w:rPr>
            </w:pPr>
            <w:r w:rsidRPr="004447E3">
              <w:rPr>
                <w:color w:val="000000"/>
                <w:szCs w:val="22"/>
              </w:rPr>
              <w:t>13,7</w:t>
            </w:r>
            <w:r>
              <w:rPr>
                <w:color w:val="000000"/>
                <w:szCs w:val="22"/>
              </w:rPr>
              <w:noBreakHyphen/>
            </w:r>
            <w:r w:rsidRPr="004447E3">
              <w:rPr>
                <w:color w:val="000000"/>
                <w:szCs w:val="22"/>
              </w:rPr>
              <w:t>20,4</w:t>
            </w:r>
          </w:p>
        </w:tc>
        <w:tc>
          <w:tcPr>
            <w:tcW w:w="1417" w:type="dxa"/>
            <w:shd w:val="clear" w:color="auto" w:fill="auto"/>
            <w:noWrap/>
          </w:tcPr>
          <w:p w14:paraId="4A1F3D81" w14:textId="77777777" w:rsidR="003A7059" w:rsidRPr="004447E3" w:rsidRDefault="003A7059" w:rsidP="00522709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B875F1F" w14:textId="77777777" w:rsidR="003A7059" w:rsidRPr="004447E3" w:rsidRDefault="003A7059" w:rsidP="00522709">
            <w:pPr>
              <w:jc w:val="center"/>
              <w:rPr>
                <w:rFonts w:eastAsia="Calibri"/>
                <w:color w:val="000000"/>
                <w:szCs w:val="22"/>
              </w:rPr>
            </w:pPr>
            <w:r w:rsidRPr="004447E3">
              <w:rPr>
                <w:color w:val="000000"/>
                <w:szCs w:val="22"/>
              </w:rPr>
              <w:t>0,5</w:t>
            </w:r>
          </w:p>
        </w:tc>
        <w:tc>
          <w:tcPr>
            <w:tcW w:w="1417" w:type="dxa"/>
            <w:shd w:val="clear" w:color="auto" w:fill="auto"/>
            <w:noWrap/>
          </w:tcPr>
          <w:p w14:paraId="0358F943" w14:textId="77777777" w:rsidR="003A7059" w:rsidRPr="004447E3" w:rsidRDefault="003A7059" w:rsidP="00522709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</w:tcPr>
          <w:p w14:paraId="075F4062" w14:textId="77777777" w:rsidR="003A7059" w:rsidRPr="004447E3" w:rsidRDefault="003A7059" w:rsidP="00522709">
            <w:pPr>
              <w:jc w:val="center"/>
              <w:rPr>
                <w:szCs w:val="22"/>
              </w:rPr>
            </w:pPr>
            <w:r w:rsidRPr="004447E3">
              <w:rPr>
                <w:szCs w:val="22"/>
              </w:rPr>
              <w:t>1,5</w:t>
            </w:r>
            <w:r>
              <w:rPr>
                <w:szCs w:val="22"/>
              </w:rPr>
              <w:noBreakHyphen/>
            </w:r>
            <w:r w:rsidRPr="004447E3">
              <w:rPr>
                <w:szCs w:val="22"/>
              </w:rPr>
              <w:t>2,2</w:t>
            </w:r>
          </w:p>
        </w:tc>
      </w:tr>
      <w:tr w:rsidR="003A7059" w:rsidRPr="004447E3" w14:paraId="5647A93D" w14:textId="77777777" w:rsidTr="00522709">
        <w:trPr>
          <w:trHeight w:val="300"/>
        </w:trPr>
        <w:tc>
          <w:tcPr>
            <w:tcW w:w="2093" w:type="dxa"/>
            <w:shd w:val="clear" w:color="auto" w:fill="auto"/>
          </w:tcPr>
          <w:p w14:paraId="5ECF9E2E" w14:textId="77777777" w:rsidR="003A7059" w:rsidRPr="004447E3" w:rsidRDefault="003A7059" w:rsidP="00522709">
            <w:pPr>
              <w:jc w:val="center"/>
              <w:rPr>
                <w:rFonts w:eastAsia="Calibri"/>
                <w:color w:val="000000"/>
                <w:szCs w:val="22"/>
              </w:rPr>
            </w:pPr>
            <w:r w:rsidRPr="004447E3">
              <w:rPr>
                <w:color w:val="000000"/>
                <w:szCs w:val="22"/>
              </w:rPr>
              <w:t>20,5</w:t>
            </w:r>
            <w:r>
              <w:rPr>
                <w:color w:val="000000"/>
                <w:szCs w:val="22"/>
              </w:rPr>
              <w:noBreakHyphen/>
            </w:r>
            <w:r w:rsidRPr="004447E3">
              <w:rPr>
                <w:color w:val="000000"/>
                <w:szCs w:val="22"/>
              </w:rPr>
              <w:t>34,0</w:t>
            </w:r>
          </w:p>
        </w:tc>
        <w:tc>
          <w:tcPr>
            <w:tcW w:w="1417" w:type="dxa"/>
            <w:shd w:val="clear" w:color="auto" w:fill="auto"/>
            <w:noWrap/>
          </w:tcPr>
          <w:p w14:paraId="5DF43688" w14:textId="77777777" w:rsidR="003A7059" w:rsidRPr="004447E3" w:rsidRDefault="003A7059" w:rsidP="00522709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CDCE7DA" w14:textId="77777777" w:rsidR="003A7059" w:rsidRPr="004447E3" w:rsidRDefault="003A7059" w:rsidP="00522709">
            <w:pPr>
              <w:jc w:val="center"/>
              <w:rPr>
                <w:rFonts w:eastAsia="Calibri"/>
                <w:color w:val="000000"/>
                <w:szCs w:val="22"/>
              </w:rPr>
            </w:pPr>
            <w:r w:rsidRPr="004447E3">
              <w:rPr>
                <w:color w:val="000000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</w:tcPr>
          <w:p w14:paraId="41B79E57" w14:textId="77777777" w:rsidR="003A7059" w:rsidRPr="004447E3" w:rsidRDefault="003A7059" w:rsidP="00522709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</w:tcPr>
          <w:p w14:paraId="3C424B18" w14:textId="77777777" w:rsidR="003A7059" w:rsidRPr="004447E3" w:rsidRDefault="003A7059" w:rsidP="00522709">
            <w:pPr>
              <w:jc w:val="center"/>
              <w:rPr>
                <w:szCs w:val="22"/>
              </w:rPr>
            </w:pPr>
            <w:r w:rsidRPr="004447E3">
              <w:rPr>
                <w:szCs w:val="22"/>
              </w:rPr>
              <w:t>1,8</w:t>
            </w:r>
            <w:r>
              <w:rPr>
                <w:szCs w:val="22"/>
              </w:rPr>
              <w:noBreakHyphen/>
            </w:r>
            <w:r w:rsidRPr="004447E3">
              <w:rPr>
                <w:szCs w:val="22"/>
              </w:rPr>
              <w:t>2,9</w:t>
            </w:r>
          </w:p>
        </w:tc>
      </w:tr>
      <w:tr w:rsidR="003A7059" w:rsidRPr="004447E3" w14:paraId="1CA9A7F5" w14:textId="77777777" w:rsidTr="00522709">
        <w:trPr>
          <w:trHeight w:val="300"/>
        </w:trPr>
        <w:tc>
          <w:tcPr>
            <w:tcW w:w="2093" w:type="dxa"/>
            <w:shd w:val="clear" w:color="auto" w:fill="auto"/>
          </w:tcPr>
          <w:p w14:paraId="16347AFB" w14:textId="77777777" w:rsidR="003A7059" w:rsidRPr="004447E3" w:rsidRDefault="003A7059" w:rsidP="00522709">
            <w:pPr>
              <w:jc w:val="center"/>
              <w:rPr>
                <w:rFonts w:eastAsia="Calibri"/>
                <w:color w:val="000000"/>
                <w:szCs w:val="22"/>
              </w:rPr>
            </w:pPr>
            <w:r w:rsidRPr="004447E3">
              <w:rPr>
                <w:color w:val="000000"/>
                <w:szCs w:val="22"/>
              </w:rPr>
              <w:t>34,1</w:t>
            </w:r>
            <w:r>
              <w:rPr>
                <w:color w:val="000000"/>
                <w:szCs w:val="22"/>
              </w:rPr>
              <w:noBreakHyphen/>
            </w:r>
            <w:r w:rsidRPr="004447E3">
              <w:rPr>
                <w:color w:val="000000"/>
                <w:szCs w:val="22"/>
              </w:rPr>
              <w:t>68,0</w:t>
            </w:r>
          </w:p>
        </w:tc>
        <w:tc>
          <w:tcPr>
            <w:tcW w:w="1417" w:type="dxa"/>
            <w:shd w:val="clear" w:color="auto" w:fill="auto"/>
            <w:noWrap/>
          </w:tcPr>
          <w:p w14:paraId="765E9F49" w14:textId="77777777" w:rsidR="003A7059" w:rsidRPr="004447E3" w:rsidRDefault="003A7059" w:rsidP="00522709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711A4E3" w14:textId="77777777" w:rsidR="003A7059" w:rsidRPr="004447E3" w:rsidRDefault="003A7059" w:rsidP="00522709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6AEF6B8F" w14:textId="77777777" w:rsidR="003A7059" w:rsidRPr="004447E3" w:rsidRDefault="003A7059" w:rsidP="00522709">
            <w:pPr>
              <w:jc w:val="center"/>
              <w:rPr>
                <w:rFonts w:eastAsia="Calibri"/>
                <w:color w:val="000000"/>
                <w:szCs w:val="22"/>
              </w:rPr>
            </w:pPr>
            <w:r w:rsidRPr="004447E3">
              <w:rPr>
                <w:color w:val="000000"/>
                <w:szCs w:val="22"/>
              </w:rPr>
              <w:t>1</w:t>
            </w:r>
          </w:p>
        </w:tc>
        <w:tc>
          <w:tcPr>
            <w:tcW w:w="1417" w:type="dxa"/>
          </w:tcPr>
          <w:p w14:paraId="7DFE37A5" w14:textId="77777777" w:rsidR="003A7059" w:rsidRPr="004447E3" w:rsidRDefault="003A7059" w:rsidP="00522709">
            <w:pPr>
              <w:jc w:val="center"/>
              <w:rPr>
                <w:color w:val="000000"/>
                <w:szCs w:val="22"/>
              </w:rPr>
            </w:pPr>
            <w:r w:rsidRPr="004447E3">
              <w:rPr>
                <w:szCs w:val="22"/>
              </w:rPr>
              <w:t>1,5</w:t>
            </w:r>
            <w:r>
              <w:rPr>
                <w:szCs w:val="22"/>
              </w:rPr>
              <w:noBreakHyphen/>
            </w:r>
            <w:r w:rsidRPr="004447E3">
              <w:rPr>
                <w:szCs w:val="22"/>
              </w:rPr>
              <w:t>2,9</w:t>
            </w:r>
          </w:p>
        </w:tc>
      </w:tr>
      <w:tr w:rsidR="003A7059" w:rsidRPr="004447E3" w14:paraId="1DEEF0A8" w14:textId="77777777" w:rsidTr="00522709">
        <w:trPr>
          <w:trHeight w:val="300"/>
        </w:trPr>
        <w:tc>
          <w:tcPr>
            <w:tcW w:w="2093" w:type="dxa"/>
            <w:shd w:val="clear" w:color="auto" w:fill="auto"/>
          </w:tcPr>
          <w:p w14:paraId="339D34F3" w14:textId="77777777" w:rsidR="003A7059" w:rsidRPr="004447E3" w:rsidRDefault="003A7059" w:rsidP="00522709">
            <w:pPr>
              <w:jc w:val="center"/>
              <w:rPr>
                <w:rFonts w:eastAsia="Calibri"/>
                <w:color w:val="000000"/>
                <w:szCs w:val="22"/>
              </w:rPr>
            </w:pPr>
            <w:r w:rsidRPr="004447E3">
              <w:rPr>
                <w:color w:val="000000"/>
                <w:szCs w:val="22"/>
              </w:rPr>
              <w:t>68,1</w:t>
            </w:r>
            <w:r>
              <w:rPr>
                <w:color w:val="000000"/>
                <w:szCs w:val="22"/>
              </w:rPr>
              <w:noBreakHyphen/>
            </w:r>
            <w:r w:rsidRPr="004447E3">
              <w:rPr>
                <w:color w:val="000000"/>
                <w:szCs w:val="22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</w:tcPr>
          <w:p w14:paraId="31052B0A" w14:textId="77777777" w:rsidR="003A7059" w:rsidRPr="004447E3" w:rsidRDefault="003A7059" w:rsidP="00522709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E50F387" w14:textId="77777777" w:rsidR="003A7059" w:rsidRPr="004447E3" w:rsidRDefault="003A7059" w:rsidP="00522709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729B5429" w14:textId="77777777" w:rsidR="003A7059" w:rsidRPr="004447E3" w:rsidRDefault="003A7059" w:rsidP="00522709">
            <w:pPr>
              <w:jc w:val="center"/>
              <w:rPr>
                <w:color w:val="000000"/>
                <w:szCs w:val="22"/>
              </w:rPr>
            </w:pPr>
            <w:r w:rsidRPr="004447E3">
              <w:rPr>
                <w:color w:val="000000"/>
                <w:szCs w:val="22"/>
              </w:rPr>
              <w:t>2</w:t>
            </w:r>
          </w:p>
        </w:tc>
        <w:tc>
          <w:tcPr>
            <w:tcW w:w="1417" w:type="dxa"/>
          </w:tcPr>
          <w:p w14:paraId="4BF8AC18" w14:textId="77777777" w:rsidR="003A7059" w:rsidRPr="004447E3" w:rsidRDefault="003A7059" w:rsidP="00522709">
            <w:pPr>
              <w:jc w:val="center"/>
              <w:rPr>
                <w:color w:val="000000"/>
                <w:szCs w:val="22"/>
              </w:rPr>
            </w:pPr>
            <w:r w:rsidRPr="004447E3">
              <w:rPr>
                <w:color w:val="000000"/>
                <w:szCs w:val="22"/>
              </w:rPr>
              <w:t>2,0</w:t>
            </w:r>
            <w:r>
              <w:rPr>
                <w:color w:val="000000"/>
                <w:szCs w:val="22"/>
              </w:rPr>
              <w:noBreakHyphen/>
            </w:r>
            <w:r w:rsidRPr="004447E3">
              <w:rPr>
                <w:color w:val="000000"/>
                <w:szCs w:val="22"/>
              </w:rPr>
              <w:t>2,9</w:t>
            </w:r>
          </w:p>
        </w:tc>
      </w:tr>
    </w:tbl>
    <w:p w14:paraId="4FD7D566" w14:textId="77777777" w:rsidR="00247A48" w:rsidRPr="00BE15AB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228206" w14:textId="77777777" w:rsidR="00C114FF" w:rsidRPr="00BE15AB" w:rsidRDefault="007B4B8E" w:rsidP="00B13B6D">
      <w:pPr>
        <w:pStyle w:val="Style1"/>
      </w:pPr>
      <w:r w:rsidRPr="00BE15AB">
        <w:t>3.10</w:t>
      </w:r>
      <w:r w:rsidRPr="00BE15AB">
        <w:tab/>
        <w:t>Objawy przedawkowania (oraz sposób postępowania przy udzielaniu natychmiastowej pomocy i odtrutki, w stosownych przypadkach)</w:t>
      </w:r>
    </w:p>
    <w:p w14:paraId="14E2DD1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478897" w14:textId="77777777" w:rsidR="0029296F" w:rsidRPr="004447E3" w:rsidRDefault="0029296F" w:rsidP="005E3B49">
      <w:pPr>
        <w:pStyle w:val="NoSpacing"/>
      </w:pPr>
      <w:r w:rsidRPr="004447E3">
        <w:t>U zdrowych psów, którym podawano grapiprant przez 9 kolejnych miesięcy w dawkach przekraczających dawki zalecane o około 2,5-raza i 15 razy obserwowano łagodne i przemijające luźne lub śluzowate s</w:t>
      </w:r>
      <w:smartTag w:uri="urn:schemas-microsoft-com:office:smarttags" w:element="PersonName">
        <w:r w:rsidRPr="004447E3">
          <w:t>to</w:t>
        </w:r>
      </w:smartTag>
      <w:r w:rsidRPr="004447E3">
        <w:t xml:space="preserve">lce (czasami krwiste) oraz wymioty. Grapiprant nie powodował żadnych oznak </w:t>
      </w:r>
      <w:smartTag w:uri="urn:schemas-microsoft-com:office:smarttags" w:element="PersonName">
        <w:r w:rsidRPr="004447E3">
          <w:t>to</w:t>
        </w:r>
      </w:smartTag>
      <w:r w:rsidRPr="004447E3">
        <w:t>ksyczności dla nerek ani wątroby przy przedawkowaniu dobowym do 15-krotności zalecanej dawki.</w:t>
      </w:r>
    </w:p>
    <w:p w14:paraId="55D456C3" w14:textId="4256FE8C" w:rsidR="006B447B" w:rsidRDefault="0029296F" w:rsidP="00A9226B">
      <w:pPr>
        <w:tabs>
          <w:tab w:val="clear" w:pos="567"/>
        </w:tabs>
        <w:spacing w:line="240" w:lineRule="auto"/>
        <w:rPr>
          <w:szCs w:val="22"/>
        </w:rPr>
      </w:pPr>
      <w:r w:rsidRPr="004447E3">
        <w:rPr>
          <w:szCs w:val="22"/>
        </w:rPr>
        <w:t>W przypadku przedawkowania należy rozpocząć leczenie objawowe.</w:t>
      </w:r>
    </w:p>
    <w:p w14:paraId="673B60CB" w14:textId="77777777" w:rsidR="006B447B" w:rsidRPr="00BE15AB" w:rsidRDefault="006B447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2D1B9C" w14:textId="392DE2F3" w:rsidR="009A6509" w:rsidRPr="00BE15AB" w:rsidRDefault="007B4B8E" w:rsidP="003339CC">
      <w:pPr>
        <w:pStyle w:val="Style1"/>
      </w:pPr>
      <w:r w:rsidRPr="00BE15AB">
        <w:t>3.11</w:t>
      </w:r>
      <w:r w:rsidRPr="00BE15AB">
        <w:tab/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14:paraId="6FE14D48" w14:textId="77777777" w:rsidR="003339CC" w:rsidRDefault="003339CC" w:rsidP="009A6509">
      <w:pPr>
        <w:tabs>
          <w:tab w:val="clear" w:pos="567"/>
        </w:tabs>
        <w:spacing w:line="240" w:lineRule="auto"/>
      </w:pPr>
    </w:p>
    <w:p w14:paraId="0689102F" w14:textId="4E318AC2" w:rsidR="009A6509" w:rsidRPr="00BE15AB" w:rsidRDefault="007B4B8E" w:rsidP="009A6509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533E8CC0" w14:textId="77777777" w:rsidR="009A6509" w:rsidRPr="00BE15AB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1AA8C00" w14:textId="77777777" w:rsidR="00C114FF" w:rsidRPr="00BE15AB" w:rsidRDefault="007B4B8E" w:rsidP="00B13B6D">
      <w:pPr>
        <w:pStyle w:val="Style1"/>
      </w:pPr>
      <w:r w:rsidRPr="00BE15AB">
        <w:t>3.12</w:t>
      </w:r>
      <w:r w:rsidRPr="00BE15AB">
        <w:tab/>
        <w:t>Okresy karencji</w:t>
      </w:r>
    </w:p>
    <w:p w14:paraId="26C9A535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1F3C1F" w14:textId="0D362EBB" w:rsidR="00C114FF" w:rsidRPr="00BE15AB" w:rsidRDefault="007B4B8E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</w:t>
      </w:r>
      <w:r w:rsidR="003253E5">
        <w:t>.</w:t>
      </w:r>
    </w:p>
    <w:p w14:paraId="53523871" w14:textId="2C7C23B9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734999" w14:textId="77777777" w:rsidR="005E3B49" w:rsidRPr="00BE15AB" w:rsidRDefault="005E3B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4C3653" w14:textId="32F56989" w:rsidR="00C114FF" w:rsidRPr="00BE15AB" w:rsidRDefault="007B4B8E" w:rsidP="00B13B6D">
      <w:pPr>
        <w:pStyle w:val="Style1"/>
      </w:pPr>
      <w:r w:rsidRPr="00D101B6">
        <w:t>4.</w:t>
      </w:r>
      <w:r w:rsidRPr="00D101B6">
        <w:tab/>
      </w:r>
      <w:r w:rsidRPr="00BE15AB">
        <w:t>DANE FARMAKOLOGICZNE</w:t>
      </w:r>
    </w:p>
    <w:p w14:paraId="701B02EE" w14:textId="43C79A36" w:rsidR="00B33798" w:rsidRPr="00D101B6" w:rsidRDefault="00B33798" w:rsidP="000043F9">
      <w:pPr>
        <w:rPr>
          <w:szCs w:val="22"/>
        </w:rPr>
      </w:pPr>
      <w:r w:rsidRPr="004447E3">
        <w:rPr>
          <w:szCs w:val="22"/>
        </w:rPr>
        <w:tab/>
      </w:r>
    </w:p>
    <w:p w14:paraId="2AA9009F" w14:textId="5B73ED62" w:rsidR="005B04A8" w:rsidRPr="00BE15AB" w:rsidRDefault="007B4B8E" w:rsidP="00B13B6D">
      <w:pPr>
        <w:pStyle w:val="Style1"/>
      </w:pPr>
      <w:r w:rsidRPr="00D101B6">
        <w:t>4.1</w:t>
      </w:r>
      <w:r w:rsidRPr="00D101B6">
        <w:tab/>
      </w:r>
      <w:r w:rsidRPr="00BE15AB">
        <w:t>Kod ATCvet</w:t>
      </w:r>
    </w:p>
    <w:p w14:paraId="25A1BBBE" w14:textId="77777777" w:rsidR="005E3B49" w:rsidRDefault="005E3B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899A0C" w14:textId="5986DB8E" w:rsidR="00C114FF" w:rsidRPr="00BE15AB" w:rsidRDefault="00B33798" w:rsidP="00A9226B">
      <w:pPr>
        <w:tabs>
          <w:tab w:val="clear" w:pos="567"/>
        </w:tabs>
        <w:spacing w:line="240" w:lineRule="auto"/>
        <w:rPr>
          <w:szCs w:val="22"/>
        </w:rPr>
      </w:pPr>
      <w:r w:rsidRPr="004447E3">
        <w:rPr>
          <w:szCs w:val="22"/>
        </w:rPr>
        <w:t>QM01AX92</w:t>
      </w:r>
    </w:p>
    <w:p w14:paraId="29E7805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49753" w14:textId="49AB2F71" w:rsidR="00C114FF" w:rsidRDefault="007B4B8E" w:rsidP="00B13B6D">
      <w:pPr>
        <w:pStyle w:val="Style1"/>
      </w:pPr>
      <w:r w:rsidRPr="00BE15AB">
        <w:t>4.2</w:t>
      </w:r>
      <w:r w:rsidRPr="00BE15AB">
        <w:tab/>
        <w:t>Dane farmakodynamiczne</w:t>
      </w:r>
    </w:p>
    <w:p w14:paraId="3A7AC98C" w14:textId="77777777" w:rsidR="00681DF8" w:rsidRPr="00BE15AB" w:rsidRDefault="00681DF8" w:rsidP="00B13B6D">
      <w:pPr>
        <w:pStyle w:val="Style1"/>
      </w:pPr>
    </w:p>
    <w:p w14:paraId="0A52E9E2" w14:textId="77777777" w:rsidR="00171302" w:rsidRPr="004447E3" w:rsidRDefault="00171302" w:rsidP="00171302">
      <w:pPr>
        <w:rPr>
          <w:iCs/>
          <w:szCs w:val="22"/>
        </w:rPr>
      </w:pPr>
      <w:r w:rsidRPr="004447E3">
        <w:rPr>
          <w:color w:val="000000"/>
          <w:szCs w:val="22"/>
        </w:rPr>
        <w:t xml:space="preserve">Grapiprant jest niesteroidowym lekiem przeciwzapalnym z grupy piprantów, niehamującym aktywności cyklooksygenazy. </w:t>
      </w:r>
      <w:r w:rsidRPr="004447E3">
        <w:rPr>
          <w:szCs w:val="22"/>
        </w:rPr>
        <w:t>Grapiprant jest selektywnym antagonistą recep</w:t>
      </w:r>
      <w:smartTag w:uri="urn:schemas-microsoft-com:office:smarttags" w:element="PersonName">
        <w:r w:rsidRPr="004447E3">
          <w:rPr>
            <w:szCs w:val="22"/>
          </w:rPr>
          <w:t>to</w:t>
        </w:r>
      </w:smartTag>
      <w:r w:rsidRPr="004447E3">
        <w:rPr>
          <w:szCs w:val="22"/>
        </w:rPr>
        <w:t>ra EP4, kluczowego recep</w:t>
      </w:r>
      <w:smartTag w:uri="urn:schemas-microsoft-com:office:smarttags" w:element="PersonName">
        <w:r w:rsidRPr="004447E3">
          <w:rPr>
            <w:szCs w:val="22"/>
          </w:rPr>
          <w:t>to</w:t>
        </w:r>
      </w:smartTag>
      <w:r w:rsidRPr="004447E3">
        <w:rPr>
          <w:szCs w:val="22"/>
        </w:rPr>
        <w:t>ra prostaglandyny E</w:t>
      </w:r>
      <w:r w:rsidRPr="004447E3">
        <w:rPr>
          <w:szCs w:val="22"/>
          <w:vertAlign w:val="subscript"/>
        </w:rPr>
        <w:t>2</w:t>
      </w:r>
      <w:r w:rsidRPr="004447E3">
        <w:rPr>
          <w:szCs w:val="22"/>
        </w:rPr>
        <w:t>, który pośredniczy głównie w nocycepcji wywołanej prostaglandyną E</w:t>
      </w:r>
      <w:r w:rsidRPr="004447E3">
        <w:rPr>
          <w:szCs w:val="22"/>
          <w:vertAlign w:val="subscript"/>
        </w:rPr>
        <w:t>2</w:t>
      </w:r>
      <w:r w:rsidRPr="004447E3">
        <w:rPr>
          <w:szCs w:val="22"/>
        </w:rPr>
        <w:t>. Konkretne skutki wiązania prostaglandyny E</w:t>
      </w:r>
      <w:r w:rsidRPr="004447E3">
        <w:rPr>
          <w:szCs w:val="22"/>
          <w:vertAlign w:val="subscript"/>
        </w:rPr>
        <w:t>2</w:t>
      </w:r>
      <w:r w:rsidRPr="004447E3">
        <w:rPr>
          <w:szCs w:val="22"/>
        </w:rPr>
        <w:t xml:space="preserve"> do recep</w:t>
      </w:r>
      <w:smartTag w:uri="urn:schemas-microsoft-com:office:smarttags" w:element="PersonName">
        <w:r w:rsidRPr="004447E3">
          <w:rPr>
            <w:szCs w:val="22"/>
          </w:rPr>
          <w:t>to</w:t>
        </w:r>
      </w:smartTag>
      <w:r w:rsidRPr="004447E3">
        <w:rPr>
          <w:szCs w:val="22"/>
        </w:rPr>
        <w:t>ra EP4 obejmują rozszerzenie naczyń krwionośnych, w tym zwiększenie przepuszczalności naczyń, angiogenezę i wytwarzanie media</w:t>
      </w:r>
      <w:smartTag w:uri="urn:schemas-microsoft-com:office:smarttags" w:element="PersonName">
        <w:r w:rsidRPr="004447E3">
          <w:rPr>
            <w:szCs w:val="22"/>
          </w:rPr>
          <w:t>to</w:t>
        </w:r>
      </w:smartTag>
      <w:r w:rsidRPr="004447E3">
        <w:rPr>
          <w:szCs w:val="22"/>
        </w:rPr>
        <w:t>rów prozapalnych. Recep</w:t>
      </w:r>
      <w:smartTag w:uri="urn:schemas-microsoft-com:office:smarttags" w:element="PersonName">
        <w:r w:rsidRPr="004447E3">
          <w:rPr>
            <w:szCs w:val="22"/>
          </w:rPr>
          <w:t>to</w:t>
        </w:r>
      </w:smartTag>
      <w:r w:rsidRPr="004447E3">
        <w:rPr>
          <w:szCs w:val="22"/>
        </w:rPr>
        <w:t>r EP4 jest ważny w mediacji bólu i stanu zapalnego, ponieważ jest głównym media</w:t>
      </w:r>
      <w:smartTag w:uri="urn:schemas-microsoft-com:office:smarttags" w:element="PersonName">
        <w:r w:rsidRPr="004447E3">
          <w:rPr>
            <w:szCs w:val="22"/>
          </w:rPr>
          <w:t>to</w:t>
        </w:r>
      </w:smartTag>
      <w:r w:rsidRPr="004447E3">
        <w:rPr>
          <w:szCs w:val="22"/>
        </w:rPr>
        <w:t>rem wywołanej prostaglandyną E</w:t>
      </w:r>
      <w:r w:rsidRPr="004447E3">
        <w:rPr>
          <w:szCs w:val="22"/>
          <w:vertAlign w:val="subscript"/>
        </w:rPr>
        <w:t>2</w:t>
      </w:r>
      <w:r w:rsidRPr="004447E3">
        <w:rPr>
          <w:szCs w:val="22"/>
        </w:rPr>
        <w:t xml:space="preserve"> sensytyzacji neuronów czuciowych i wywołanego prostaglandyną E</w:t>
      </w:r>
      <w:r w:rsidRPr="004447E3">
        <w:rPr>
          <w:szCs w:val="22"/>
          <w:vertAlign w:val="subscript"/>
        </w:rPr>
        <w:t>2</w:t>
      </w:r>
      <w:r w:rsidRPr="004447E3">
        <w:rPr>
          <w:szCs w:val="22"/>
        </w:rPr>
        <w:t xml:space="preserve"> stanu zapalnego.</w:t>
      </w:r>
    </w:p>
    <w:p w14:paraId="499E2AB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D86C1E" w14:textId="6D3FCEBD" w:rsidR="00C114FF" w:rsidRPr="00BE15AB" w:rsidRDefault="007B4B8E" w:rsidP="00B13B6D">
      <w:pPr>
        <w:pStyle w:val="Style1"/>
      </w:pPr>
      <w:r w:rsidRPr="00BE15AB">
        <w:t>4.3</w:t>
      </w:r>
      <w:r w:rsidRPr="00BE15AB">
        <w:tab/>
        <w:t>Dane farmakokinetyczne</w:t>
      </w:r>
    </w:p>
    <w:p w14:paraId="30B88DF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053598" w14:textId="77777777" w:rsidR="004A17AE" w:rsidRPr="004447E3" w:rsidRDefault="004A17AE" w:rsidP="004A17AE">
      <w:pPr>
        <w:spacing w:line="240" w:lineRule="auto"/>
        <w:rPr>
          <w:snapToGrid w:val="0"/>
          <w:szCs w:val="22"/>
          <w:u w:val="single"/>
        </w:rPr>
      </w:pPr>
      <w:r w:rsidRPr="004447E3">
        <w:rPr>
          <w:szCs w:val="22"/>
          <w:u w:val="single"/>
        </w:rPr>
        <w:t>Wchłanianie</w:t>
      </w:r>
    </w:p>
    <w:p w14:paraId="06E60A26" w14:textId="77777777" w:rsidR="004A17AE" w:rsidRPr="004447E3" w:rsidRDefault="004A17AE" w:rsidP="004A17AE">
      <w:pPr>
        <w:spacing w:line="240" w:lineRule="auto"/>
        <w:rPr>
          <w:snapToGrid w:val="0"/>
          <w:szCs w:val="22"/>
        </w:rPr>
      </w:pPr>
      <w:r w:rsidRPr="004447E3">
        <w:rPr>
          <w:szCs w:val="22"/>
        </w:rPr>
        <w:t>Grapiprant jest u psów łatwo i szybko wchłaniany z przewodu pokarmowego. Po pojedynczej dawce doustnej, wynoszącej 2 mg grapiprantu/kg, podanej na czczo osiągano war</w:t>
      </w:r>
      <w:smartTag w:uri="urn:schemas-microsoft-com:office:smarttags" w:element="PersonName">
        <w:r w:rsidRPr="004447E3">
          <w:rPr>
            <w:szCs w:val="22"/>
          </w:rPr>
          <w:t>to</w:t>
        </w:r>
      </w:smartTag>
      <w:r w:rsidRPr="004447E3">
        <w:rPr>
          <w:szCs w:val="22"/>
        </w:rPr>
        <w:t>ści C</w:t>
      </w:r>
      <w:r w:rsidRPr="004447E3">
        <w:rPr>
          <w:szCs w:val="22"/>
          <w:vertAlign w:val="subscript"/>
        </w:rPr>
        <w:t>max</w:t>
      </w:r>
      <w:r w:rsidRPr="004447E3">
        <w:rPr>
          <w:szCs w:val="22"/>
        </w:rPr>
        <w:t xml:space="preserve"> i AUC wynoszące odpowiednio 1,21 µg/ml i 2,71 µg.h/ml. Maksymalne stężenie grapiprantu w surowicy obserwuje się w ciągu jednej godziny po podaniu na czczo. Przyjęcie tabletki z pokarmem zmniejsza dostępność biologiczną po podaniu doustnym, tzn. dostępność biologiczna grapiprantu po podaniu </w:t>
      </w:r>
      <w:r w:rsidRPr="004447E3">
        <w:rPr>
          <w:szCs w:val="22"/>
        </w:rPr>
        <w:lastRenderedPageBreak/>
        <w:t>doustnym na czczo wynosiła 89%, a po podaniu z pokarmem wynosiła 33%, ze średnimi war</w:t>
      </w:r>
      <w:smartTag w:uri="urn:schemas-microsoft-com:office:smarttags" w:element="PersonName">
        <w:r w:rsidRPr="004447E3">
          <w:rPr>
            <w:szCs w:val="22"/>
          </w:rPr>
          <w:t>to</w:t>
        </w:r>
      </w:smartTag>
      <w:r w:rsidRPr="004447E3">
        <w:rPr>
          <w:szCs w:val="22"/>
        </w:rPr>
        <w:t>ściami C</w:t>
      </w:r>
      <w:r w:rsidRPr="004447E3">
        <w:rPr>
          <w:szCs w:val="22"/>
          <w:vertAlign w:val="subscript"/>
        </w:rPr>
        <w:t>max</w:t>
      </w:r>
      <w:r w:rsidRPr="004447E3">
        <w:rPr>
          <w:szCs w:val="22"/>
        </w:rPr>
        <w:t xml:space="preserve"> i AUC grapiprantu zmniejszonymi odpowiednio 4</w:t>
      </w:r>
      <w:r w:rsidRPr="004447E3">
        <w:rPr>
          <w:szCs w:val="22"/>
        </w:rPr>
        <w:noBreakHyphen/>
        <w:t>krotnie i 2</w:t>
      </w:r>
      <w:r w:rsidRPr="004447E3">
        <w:rPr>
          <w:szCs w:val="22"/>
        </w:rPr>
        <w:noBreakHyphen/>
        <w:t>krotnie. Po wielokrotnym podaniu grapiprant nie gromadzi się w organizmie psa. Nie obserwowano różnic wchłaniania zależnych od płci.</w:t>
      </w:r>
    </w:p>
    <w:p w14:paraId="42200615" w14:textId="77777777" w:rsidR="004A17AE" w:rsidRPr="004447E3" w:rsidRDefault="004A17AE" w:rsidP="004A17AE">
      <w:pPr>
        <w:spacing w:line="240" w:lineRule="auto"/>
        <w:rPr>
          <w:szCs w:val="22"/>
          <w:u w:val="single"/>
        </w:rPr>
      </w:pPr>
    </w:p>
    <w:p w14:paraId="619628E5" w14:textId="77777777" w:rsidR="004A17AE" w:rsidRPr="004447E3" w:rsidRDefault="004A17AE" w:rsidP="004A17AE">
      <w:pPr>
        <w:spacing w:line="240" w:lineRule="auto"/>
        <w:rPr>
          <w:snapToGrid w:val="0"/>
          <w:szCs w:val="22"/>
          <w:u w:val="single"/>
        </w:rPr>
      </w:pPr>
      <w:r w:rsidRPr="004447E3">
        <w:rPr>
          <w:szCs w:val="22"/>
          <w:u w:val="single"/>
        </w:rPr>
        <w:t>Dystrybucja</w:t>
      </w:r>
    </w:p>
    <w:p w14:paraId="58ABCE27" w14:textId="77777777" w:rsidR="004A17AE" w:rsidRPr="004447E3" w:rsidRDefault="004A17AE" w:rsidP="004A17AE">
      <w:pPr>
        <w:spacing w:line="240" w:lineRule="auto"/>
        <w:rPr>
          <w:szCs w:val="22"/>
        </w:rPr>
      </w:pPr>
      <w:r w:rsidRPr="004447E3">
        <w:rPr>
          <w:szCs w:val="22"/>
        </w:rPr>
        <w:t>S</w:t>
      </w:r>
      <w:smartTag w:uri="urn:schemas-microsoft-com:office:smarttags" w:element="PersonName">
        <w:r w:rsidRPr="004447E3">
          <w:rPr>
            <w:szCs w:val="22"/>
          </w:rPr>
          <w:t>to</w:t>
        </w:r>
      </w:smartTag>
      <w:r w:rsidRPr="004447E3">
        <w:rPr>
          <w:szCs w:val="22"/>
        </w:rPr>
        <w:t xml:space="preserve">pień wiązania grapiprantu z białkami </w:t>
      </w:r>
      <w:r w:rsidRPr="004447E3">
        <w:rPr>
          <w:i/>
          <w:szCs w:val="22"/>
        </w:rPr>
        <w:t>in vitro</w:t>
      </w:r>
      <w:r w:rsidRPr="004447E3">
        <w:rPr>
          <w:szCs w:val="22"/>
        </w:rPr>
        <w:t xml:space="preserve"> wskazuje, że u psa grapiprant wiąże się głównie z albuminą surowicy. Średni odsetek niezwiązanego grapiprantu wynosił 4,35% i 5,01% przy stężeniu grapiprantu wynoszącym 200 ng/ml i 1000 ng/ml.</w:t>
      </w:r>
    </w:p>
    <w:p w14:paraId="52109CC3" w14:textId="77777777" w:rsidR="004A17AE" w:rsidRPr="004447E3" w:rsidRDefault="004A17AE" w:rsidP="004A17AE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625AC293" w14:textId="77777777" w:rsidR="004A17AE" w:rsidRPr="004447E3" w:rsidRDefault="004A17AE" w:rsidP="004A17A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447E3">
        <w:rPr>
          <w:szCs w:val="22"/>
          <w:u w:val="single"/>
        </w:rPr>
        <w:t>Metabolizm</w:t>
      </w:r>
    </w:p>
    <w:p w14:paraId="4EE76428" w14:textId="77777777" w:rsidR="004A17AE" w:rsidRPr="004447E3" w:rsidRDefault="004A17AE" w:rsidP="004A17AE">
      <w:pPr>
        <w:spacing w:line="240" w:lineRule="auto"/>
        <w:rPr>
          <w:szCs w:val="22"/>
        </w:rPr>
      </w:pPr>
      <w:r w:rsidRPr="004447E3">
        <w:rPr>
          <w:szCs w:val="22"/>
        </w:rPr>
        <w:t>Grapiprant wiąże się głównie z białkami surowicy. U psów grapiprant jest głównym produktem wydalania w żółci, kale i moczu. Zidentyfikowano cztery metabolity, a szlaki metaboliczne obejmują N</w:t>
      </w:r>
      <w:r w:rsidRPr="004447E3">
        <w:rPr>
          <w:szCs w:val="22"/>
        </w:rPr>
        <w:noBreakHyphen/>
        <w:t>deaminację, prowadzącą do wytworzenia głównego metabolitu w kale (7,2%) i moczu (3,4%). Dwa hydroksylowane metabolity i jeden N-oksydowany metabolit są również odzyskiwane w żółci, kale i (lub) moczu. Aktywność farmakologiczna metabolitów nie jest znana.</w:t>
      </w:r>
    </w:p>
    <w:p w14:paraId="1DFA3BCF" w14:textId="77777777" w:rsidR="004A17AE" w:rsidRPr="004447E3" w:rsidRDefault="004A17AE" w:rsidP="004A17AE">
      <w:pPr>
        <w:pStyle w:val="eSub-Text11pt"/>
        <w:spacing w:after="0"/>
        <w:jc w:val="left"/>
        <w:rPr>
          <w:rStyle w:val="No-numheading3AgencyChar"/>
          <w:rFonts w:ascii="Times New Roman" w:hAnsi="Times New Roman"/>
          <w:snapToGrid/>
          <w:u w:val="single"/>
        </w:rPr>
      </w:pPr>
    </w:p>
    <w:p w14:paraId="23D52F8B" w14:textId="77777777" w:rsidR="004A17AE" w:rsidRPr="003C3174" w:rsidRDefault="004A17AE" w:rsidP="004A17AE">
      <w:pPr>
        <w:pStyle w:val="eSub-Text11pt"/>
        <w:spacing w:after="0"/>
        <w:jc w:val="left"/>
        <w:rPr>
          <w:rStyle w:val="No-numheading3AgencyChar"/>
          <w:rFonts w:ascii="Times New Roman" w:hAnsi="Times New Roman"/>
          <w:b w:val="0"/>
          <w:bCs w:val="0"/>
          <w:snapToGrid/>
        </w:rPr>
      </w:pPr>
      <w:r w:rsidRPr="003C3174">
        <w:rPr>
          <w:rStyle w:val="No-numheading3AgencyChar"/>
          <w:rFonts w:ascii="Times New Roman" w:hAnsi="Times New Roman"/>
          <w:b w:val="0"/>
          <w:bCs w:val="0"/>
          <w:snapToGrid/>
          <w:u w:val="single"/>
        </w:rPr>
        <w:t>Eliminacja</w:t>
      </w:r>
    </w:p>
    <w:p w14:paraId="448DBBF1" w14:textId="77777777" w:rsidR="004A17AE" w:rsidRPr="003C3174" w:rsidRDefault="004A17AE" w:rsidP="004A17AE">
      <w:pPr>
        <w:pStyle w:val="eSub-Text11pt"/>
        <w:spacing w:after="0"/>
        <w:jc w:val="left"/>
        <w:rPr>
          <w:rFonts w:ascii="Times New Roman" w:hAnsi="Times New Roman"/>
          <w:b/>
        </w:rPr>
      </w:pPr>
      <w:r w:rsidRPr="003C3174">
        <w:rPr>
          <w:rStyle w:val="No-numheading3AgencyChar"/>
          <w:rFonts w:ascii="Times New Roman" w:hAnsi="Times New Roman"/>
          <w:b w:val="0"/>
          <w:bCs w:val="0"/>
          <w:snapToGrid/>
        </w:rPr>
        <w:t>Grapiprant jest głównie eliminowany z kałem. Około 70</w:t>
      </w:r>
      <w:r w:rsidRPr="003C3174">
        <w:rPr>
          <w:rStyle w:val="No-numheading3AgencyChar"/>
          <w:rFonts w:ascii="Times New Roman" w:hAnsi="Times New Roman"/>
          <w:b w:val="0"/>
          <w:bCs w:val="0"/>
          <w:snapToGrid/>
        </w:rPr>
        <w:noBreakHyphen/>
        <w:t>80% podanej dawki jest wydalane w ciągu 48</w:t>
      </w:r>
      <w:r w:rsidRPr="003C3174">
        <w:rPr>
          <w:rStyle w:val="No-numheading3AgencyChar"/>
          <w:rFonts w:ascii="Times New Roman" w:hAnsi="Times New Roman"/>
          <w:b w:val="0"/>
          <w:bCs w:val="0"/>
          <w:snapToGrid/>
        </w:rPr>
        <w:noBreakHyphen/>
        <w:t>72 godz., w większości w stanie niezmienionym. Wydalanie z kałem stanowiło około 65% dawki, a około 20% dawki było wydalane z moczem.</w:t>
      </w:r>
    </w:p>
    <w:p w14:paraId="48EE990B" w14:textId="3E31CB9B" w:rsidR="00C114FF" w:rsidRDefault="004A17AE" w:rsidP="00A9226B">
      <w:pPr>
        <w:tabs>
          <w:tab w:val="clear" w:pos="567"/>
        </w:tabs>
        <w:spacing w:line="240" w:lineRule="auto"/>
        <w:rPr>
          <w:szCs w:val="22"/>
        </w:rPr>
      </w:pPr>
      <w:r w:rsidRPr="004447E3">
        <w:rPr>
          <w:szCs w:val="22"/>
        </w:rPr>
        <w:t>Okres półtrwania grapiprantu w fazie eliminacji wynosi około 4,6</w:t>
      </w:r>
      <w:r w:rsidRPr="004447E3">
        <w:rPr>
          <w:szCs w:val="22"/>
        </w:rPr>
        <w:noBreakHyphen/>
        <w:t>5,67 godzin.</w:t>
      </w:r>
    </w:p>
    <w:p w14:paraId="7F17819D" w14:textId="462A1174" w:rsidR="004B0295" w:rsidRDefault="004B029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EC5A71" w14:textId="77777777" w:rsidR="005E3B49" w:rsidRPr="00BE15AB" w:rsidRDefault="005E3B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7210CB" w14:textId="77777777" w:rsidR="00C114FF" w:rsidRPr="00BE15AB" w:rsidRDefault="007B4B8E" w:rsidP="00B13B6D">
      <w:pPr>
        <w:pStyle w:val="Style1"/>
      </w:pPr>
      <w:r w:rsidRPr="00BE15AB">
        <w:t>5.</w:t>
      </w:r>
      <w:r w:rsidRPr="00BE15AB">
        <w:tab/>
        <w:t>DANE FARMACEUTYCZNE</w:t>
      </w:r>
    </w:p>
    <w:p w14:paraId="26FAEE6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9890CE" w14:textId="77777777" w:rsidR="00C114FF" w:rsidRPr="00BE15AB" w:rsidRDefault="007B4B8E" w:rsidP="00B13B6D">
      <w:pPr>
        <w:pStyle w:val="Style1"/>
      </w:pPr>
      <w:r w:rsidRPr="00BE15AB">
        <w:t>5.1</w:t>
      </w:r>
      <w:r w:rsidRPr="00BE15AB">
        <w:tab/>
        <w:t>Główne niezgodności farmaceutyczne</w:t>
      </w:r>
    </w:p>
    <w:p w14:paraId="0EF7E8D5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2ED5CD" w14:textId="1950B3CA" w:rsidR="00C114FF" w:rsidRPr="00BE15AB" w:rsidRDefault="007B4B8E" w:rsidP="00781D60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</w:t>
      </w:r>
      <w:r w:rsidR="005E3B49">
        <w:t>.</w:t>
      </w:r>
    </w:p>
    <w:p w14:paraId="1FCCD96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BC827C" w14:textId="77777777" w:rsidR="00C114FF" w:rsidRPr="00BE15AB" w:rsidRDefault="007B4B8E" w:rsidP="00B13B6D">
      <w:pPr>
        <w:pStyle w:val="Style1"/>
      </w:pPr>
      <w:r w:rsidRPr="00BE15AB">
        <w:t>5.2</w:t>
      </w:r>
      <w:r w:rsidRPr="00BE15AB">
        <w:tab/>
        <w:t>Okres ważności</w:t>
      </w:r>
    </w:p>
    <w:p w14:paraId="2AE696E8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6FC926" w14:textId="0966B002" w:rsidR="00A31F94" w:rsidRPr="004447E3" w:rsidRDefault="00A31F94" w:rsidP="00776CA0">
      <w:pPr>
        <w:tabs>
          <w:tab w:val="clear" w:pos="567"/>
          <w:tab w:val="left" w:pos="0"/>
        </w:tabs>
        <w:rPr>
          <w:szCs w:val="22"/>
        </w:rPr>
      </w:pPr>
      <w:r w:rsidRPr="004447E3">
        <w:rPr>
          <w:szCs w:val="22"/>
        </w:rPr>
        <w:t>Okres ważności weterynaryjnego produktu leczniczego zapakowanego do sprzedaży: 3 lata</w:t>
      </w:r>
      <w:r>
        <w:rPr>
          <w:szCs w:val="22"/>
        </w:rPr>
        <w:t>.</w:t>
      </w:r>
    </w:p>
    <w:p w14:paraId="1D8483AF" w14:textId="77777777" w:rsidR="00A31F94" w:rsidRPr="004447E3" w:rsidRDefault="00A31F94" w:rsidP="00A31F94">
      <w:pPr>
        <w:tabs>
          <w:tab w:val="clear" w:pos="567"/>
          <w:tab w:val="left" w:pos="0"/>
        </w:tabs>
        <w:rPr>
          <w:szCs w:val="22"/>
        </w:rPr>
      </w:pPr>
      <w:r w:rsidRPr="004447E3">
        <w:rPr>
          <w:szCs w:val="22"/>
        </w:rPr>
        <w:t xml:space="preserve">Okres ważności po pierwszym otwarciu opakowania bezpośredniego: 3 miesiące. </w:t>
      </w:r>
    </w:p>
    <w:p w14:paraId="7FBC91FC" w14:textId="77777777" w:rsidR="00A31F94" w:rsidRPr="004447E3" w:rsidRDefault="00A31F94" w:rsidP="00A31F94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447E3">
        <w:rPr>
          <w:szCs w:val="22"/>
        </w:rPr>
        <w:t>Wszelkie pozostałe tabletki, zarówno całe jak i połówki, należy usunąć po 3 miesiącach po pierwszym otwarciu.</w:t>
      </w:r>
    </w:p>
    <w:p w14:paraId="0168CF0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DA165B" w14:textId="77777777" w:rsidR="00C114FF" w:rsidRPr="00BE15AB" w:rsidRDefault="007B4B8E" w:rsidP="00B13B6D">
      <w:pPr>
        <w:pStyle w:val="Style1"/>
      </w:pPr>
      <w:r w:rsidRPr="00BE15AB">
        <w:t>5.3</w:t>
      </w:r>
      <w:r w:rsidRPr="00BE15AB">
        <w:tab/>
        <w:t>Specjalne środki ostrożności przy przechowywaniu</w:t>
      </w:r>
    </w:p>
    <w:p w14:paraId="7E5E848B" w14:textId="77777777" w:rsidR="001A3980" w:rsidRDefault="001A3980" w:rsidP="00FD63A8">
      <w:pPr>
        <w:rPr>
          <w:szCs w:val="22"/>
        </w:rPr>
      </w:pPr>
    </w:p>
    <w:p w14:paraId="4CDEB7DC" w14:textId="382E6482" w:rsidR="00FD63A8" w:rsidRPr="004447E3" w:rsidRDefault="00FD63A8" w:rsidP="00FD63A8">
      <w:pPr>
        <w:rPr>
          <w:iCs/>
          <w:szCs w:val="22"/>
        </w:rPr>
      </w:pPr>
      <w:r w:rsidRPr="004447E3">
        <w:rPr>
          <w:szCs w:val="22"/>
        </w:rPr>
        <w:t>Nie przechowywać w temperaturze powyżej 30</w:t>
      </w:r>
      <w:r w:rsidRPr="004447E3">
        <w:rPr>
          <w:szCs w:val="22"/>
        </w:rPr>
        <w:sym w:font="Symbol" w:char="F0B0"/>
      </w:r>
      <w:r w:rsidRPr="004447E3">
        <w:rPr>
          <w:szCs w:val="22"/>
        </w:rPr>
        <w:t>C.</w:t>
      </w:r>
    </w:p>
    <w:p w14:paraId="1740462C" w14:textId="77777777" w:rsidR="00FD63A8" w:rsidRPr="004447E3" w:rsidRDefault="00FD63A8" w:rsidP="00FD63A8">
      <w:pPr>
        <w:ind w:left="567" w:hanging="567"/>
        <w:rPr>
          <w:szCs w:val="22"/>
        </w:rPr>
      </w:pPr>
      <w:r w:rsidRPr="004447E3">
        <w:rPr>
          <w:szCs w:val="22"/>
        </w:rPr>
        <w:t>Połówki tabletek należy przechowywać w butelce.</w:t>
      </w:r>
    </w:p>
    <w:p w14:paraId="17D0B1E5" w14:textId="77777777" w:rsidR="00FD63A8" w:rsidRPr="004447E3" w:rsidRDefault="00FD63A8" w:rsidP="00FD63A8">
      <w:pPr>
        <w:tabs>
          <w:tab w:val="clear" w:pos="567"/>
          <w:tab w:val="left" w:pos="0"/>
        </w:tabs>
        <w:rPr>
          <w:szCs w:val="22"/>
        </w:rPr>
      </w:pPr>
      <w:r w:rsidRPr="004447E3">
        <w:rPr>
          <w:szCs w:val="22"/>
        </w:rPr>
        <w:t>W celu uniknięcia przypadkowego połknięcia tabletki należy przechowywać w miejscu niedostępnym dla zwierząt.</w:t>
      </w:r>
    </w:p>
    <w:p w14:paraId="5A52257D" w14:textId="77777777" w:rsidR="00FD63A8" w:rsidRPr="00FD63A8" w:rsidRDefault="00FD63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1BE494" w14:textId="77777777" w:rsidR="00C114FF" w:rsidRPr="00BE15AB" w:rsidRDefault="007B4B8E" w:rsidP="00B13B6D">
      <w:pPr>
        <w:pStyle w:val="Style1"/>
      </w:pPr>
      <w:r w:rsidRPr="00BE15AB">
        <w:t>5.4</w:t>
      </w:r>
      <w:r w:rsidRPr="00BE15AB">
        <w:tab/>
        <w:t>Rodzaj i skład opakowania bezpośredniego</w:t>
      </w:r>
    </w:p>
    <w:p w14:paraId="241CB026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1E54282" w14:textId="66D2A9BD" w:rsidR="005615A8" w:rsidRPr="004447E3" w:rsidRDefault="005615A8" w:rsidP="005615A8">
      <w:pPr>
        <w:rPr>
          <w:szCs w:val="22"/>
        </w:rPr>
      </w:pPr>
      <w:r w:rsidRPr="004447E3">
        <w:rPr>
          <w:szCs w:val="22"/>
        </w:rPr>
        <w:t>Białe, okrągłe butelki z polietylenu o wysokiej gęs</w:t>
      </w:r>
      <w:smartTag w:uri="urn:schemas-microsoft-com:office:smarttags" w:element="PersonName">
        <w:r w:rsidRPr="004447E3">
          <w:rPr>
            <w:szCs w:val="22"/>
          </w:rPr>
          <w:t>to</w:t>
        </w:r>
      </w:smartTag>
      <w:r w:rsidRPr="004447E3">
        <w:rPr>
          <w:szCs w:val="22"/>
        </w:rPr>
        <w:t>ści (HDPE) zamykane indukcyjnie, z gwin</w:t>
      </w:r>
      <w:smartTag w:uri="urn:schemas-microsoft-com:office:smarttags" w:element="PersonName">
        <w:r w:rsidRPr="004447E3">
          <w:rPr>
            <w:szCs w:val="22"/>
          </w:rPr>
          <w:t>to</w:t>
        </w:r>
      </w:smartTag>
      <w:r w:rsidRPr="004447E3">
        <w:rPr>
          <w:szCs w:val="22"/>
        </w:rPr>
        <w:t xml:space="preserve">wanym wieczkiem zabezpieczającym przed dostępem dzieci, zawierającym celulozową wkładkę wypełniającą. </w:t>
      </w:r>
    </w:p>
    <w:p w14:paraId="06BB7FF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DBA716" w14:textId="77777777" w:rsidR="009C51CA" w:rsidRPr="004447E3" w:rsidRDefault="009C51CA" w:rsidP="009C51CA">
      <w:pPr>
        <w:tabs>
          <w:tab w:val="clear" w:pos="567"/>
        </w:tabs>
        <w:spacing w:line="240" w:lineRule="auto"/>
        <w:rPr>
          <w:szCs w:val="22"/>
        </w:rPr>
      </w:pPr>
      <w:r w:rsidRPr="004447E3">
        <w:rPr>
          <w:szCs w:val="22"/>
        </w:rPr>
        <w:t>Każda butelka, zapakowana indywidualnie w pudełko tekturowe zawiera 7 lub 30 tabletek.</w:t>
      </w:r>
    </w:p>
    <w:p w14:paraId="44FC7D28" w14:textId="5DA5BF99" w:rsidR="009C51CA" w:rsidRDefault="009C51CA" w:rsidP="009C51CA">
      <w:pPr>
        <w:tabs>
          <w:tab w:val="clear" w:pos="567"/>
        </w:tabs>
        <w:spacing w:line="240" w:lineRule="auto"/>
        <w:rPr>
          <w:szCs w:val="22"/>
        </w:rPr>
      </w:pPr>
      <w:r w:rsidRPr="004447E3">
        <w:rPr>
          <w:szCs w:val="22"/>
        </w:rPr>
        <w:t>Niektóre wielkości opakowań mogą nie być dostępne w obrocie.</w:t>
      </w:r>
    </w:p>
    <w:p w14:paraId="79205B44" w14:textId="77777777" w:rsidR="005615A8" w:rsidRPr="00BE15AB" w:rsidRDefault="005615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29E819" w14:textId="75BD861E" w:rsidR="00C114FF" w:rsidRPr="00BE15AB" w:rsidRDefault="007B4B8E" w:rsidP="00B13B6D">
      <w:pPr>
        <w:pStyle w:val="Style1"/>
      </w:pPr>
      <w:r w:rsidRPr="00BE15AB">
        <w:t>5.5</w:t>
      </w:r>
      <w:r w:rsidRPr="00BE15AB">
        <w:tab/>
        <w:t>Specjalne środki ostrożności dotyczące usuwania niezużyt</w:t>
      </w:r>
      <w:r w:rsidR="009B7E54">
        <w:t>ych</w:t>
      </w:r>
      <w:r w:rsidRPr="00BE15AB">
        <w:t xml:space="preserve"> weterynaryjn</w:t>
      </w:r>
      <w:r w:rsidR="009B7E54">
        <w:t>ych</w:t>
      </w:r>
      <w:r w:rsidRPr="00BE15AB">
        <w:t xml:space="preserve"> produkt</w:t>
      </w:r>
      <w:r w:rsidR="009B7E54">
        <w:t>ów</w:t>
      </w:r>
      <w:r w:rsidRPr="00BE15AB">
        <w:t xml:space="preserve"> lecznicz</w:t>
      </w:r>
      <w:r w:rsidR="009B7E54">
        <w:t>ych</w:t>
      </w:r>
      <w:r w:rsidRPr="00BE15AB">
        <w:t xml:space="preserve"> lub pochodzących z ni</w:t>
      </w:r>
      <w:r w:rsidR="009B7E54">
        <w:t>ch</w:t>
      </w:r>
      <w:r w:rsidRPr="00BE15AB">
        <w:t xml:space="preserve"> odpadów</w:t>
      </w:r>
    </w:p>
    <w:p w14:paraId="600E43C8" w14:textId="0AB292D7" w:rsidR="00CA7493" w:rsidRDefault="00CA7493" w:rsidP="00CA7493">
      <w:pPr>
        <w:tabs>
          <w:tab w:val="clear" w:pos="567"/>
        </w:tabs>
        <w:spacing w:line="240" w:lineRule="auto"/>
      </w:pPr>
    </w:p>
    <w:p w14:paraId="76AE1303" w14:textId="24425F50" w:rsidR="0060534D" w:rsidRPr="00BE15AB" w:rsidRDefault="0060534D" w:rsidP="0060534D">
      <w:pPr>
        <w:tabs>
          <w:tab w:val="clear" w:pos="567"/>
        </w:tabs>
        <w:spacing w:line="240" w:lineRule="auto"/>
        <w:rPr>
          <w:i/>
          <w:szCs w:val="22"/>
        </w:rPr>
      </w:pPr>
      <w:r w:rsidRPr="00BE15AB">
        <w:t>Leków nie należy usuwać do kanalizacji ani wyrzucać do śmieci.</w:t>
      </w:r>
    </w:p>
    <w:p w14:paraId="0F1C58B9" w14:textId="77777777" w:rsidR="0060534D" w:rsidRPr="00BE15AB" w:rsidRDefault="0060534D" w:rsidP="0060534D">
      <w:pPr>
        <w:tabs>
          <w:tab w:val="clear" w:pos="567"/>
        </w:tabs>
        <w:spacing w:line="240" w:lineRule="auto"/>
        <w:rPr>
          <w:szCs w:val="22"/>
        </w:rPr>
      </w:pPr>
    </w:p>
    <w:p w14:paraId="4D8463C8" w14:textId="77777777" w:rsidR="0060534D" w:rsidRPr="00BE15AB" w:rsidRDefault="0060534D" w:rsidP="0060534D">
      <w:pPr>
        <w:tabs>
          <w:tab w:val="clear" w:pos="567"/>
        </w:tabs>
        <w:spacing w:line="240" w:lineRule="auto"/>
        <w:rPr>
          <w:szCs w:val="22"/>
        </w:rPr>
      </w:pPr>
      <w:r w:rsidRPr="00F176BE">
        <w:t xml:space="preserve">Należy skorzystać z </w:t>
      </w:r>
      <w:r>
        <w:t xml:space="preserve">krajowego </w:t>
      </w:r>
      <w:r w:rsidRPr="00F176BE">
        <w:t>system</w:t>
      </w:r>
      <w:r>
        <w:t>u odbioru odpadów</w:t>
      </w:r>
      <w:r w:rsidRPr="00F176BE">
        <w:t xml:space="preserve"> w celu usunięcia niewykorzystanego weterynaryjnego produktu leczniczego lub materiałów odpadowych pochodzących z jego zastosowania w sposób zgodny z obowiązującymi przepisami oraz krajowymi systemami </w:t>
      </w:r>
      <w:r>
        <w:t>odbioru</w:t>
      </w:r>
      <w:r w:rsidRPr="00F176BE">
        <w:t xml:space="preserve"> odpadów dotyczącymi danego weterynaryjnego produktu leczniczego.</w:t>
      </w:r>
    </w:p>
    <w:p w14:paraId="2B41676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2971F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065232" w14:textId="77777777" w:rsidR="00C114FF" w:rsidRPr="00BE15AB" w:rsidRDefault="007B4B8E" w:rsidP="00B13B6D">
      <w:pPr>
        <w:pStyle w:val="Style1"/>
      </w:pPr>
      <w:r w:rsidRPr="00BE15AB">
        <w:t>6.</w:t>
      </w:r>
      <w:r w:rsidRPr="00BE15AB">
        <w:tab/>
        <w:t>NAZWA PODMIOTU ODPOWIEDZIALNEGO</w:t>
      </w:r>
    </w:p>
    <w:p w14:paraId="798C21DA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6D8966" w14:textId="77777777" w:rsidR="00845264" w:rsidRPr="00107025" w:rsidRDefault="00845264" w:rsidP="00845264">
      <w:pPr>
        <w:tabs>
          <w:tab w:val="clear" w:pos="567"/>
        </w:tabs>
        <w:spacing w:line="240" w:lineRule="auto"/>
        <w:rPr>
          <w:szCs w:val="22"/>
        </w:rPr>
      </w:pPr>
      <w:r w:rsidRPr="00107025">
        <w:rPr>
          <w:szCs w:val="22"/>
        </w:rPr>
        <w:t>Elanco GmbH</w:t>
      </w:r>
    </w:p>
    <w:p w14:paraId="3CB50D3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EFAA1A" w14:textId="77777777" w:rsidR="00450325" w:rsidRPr="00BE15AB" w:rsidRDefault="0045032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C8C9C8" w14:textId="77777777" w:rsidR="00C114FF" w:rsidRPr="00BE15AB" w:rsidRDefault="007B4B8E" w:rsidP="00B13B6D">
      <w:pPr>
        <w:pStyle w:val="Style1"/>
      </w:pPr>
      <w:r w:rsidRPr="00BE15AB">
        <w:t>7.</w:t>
      </w:r>
      <w:r w:rsidRPr="00BE15AB">
        <w:tab/>
        <w:t>NUMER(-Y) POZWOLENIA NA DOPUSZCZENIE DO OBROTU</w:t>
      </w:r>
    </w:p>
    <w:p w14:paraId="19F1A61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09F0FE" w14:textId="61118955" w:rsidR="00AF05EA" w:rsidRDefault="00AF05EA" w:rsidP="00A9226B">
      <w:pPr>
        <w:tabs>
          <w:tab w:val="clear" w:pos="567"/>
        </w:tabs>
        <w:spacing w:line="240" w:lineRule="auto"/>
        <w:rPr>
          <w:szCs w:val="22"/>
        </w:rPr>
      </w:pPr>
      <w:r w:rsidRPr="004447E3">
        <w:rPr>
          <w:szCs w:val="22"/>
        </w:rPr>
        <w:t>EU/2/17/221/001-006</w:t>
      </w:r>
    </w:p>
    <w:p w14:paraId="04E01F07" w14:textId="77777777" w:rsidR="00AF05EA" w:rsidRPr="00AF05EA" w:rsidRDefault="00AF05E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EAA0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4DECA5" w14:textId="77777777" w:rsidR="00C114FF" w:rsidRPr="00BE15AB" w:rsidRDefault="007B4B8E" w:rsidP="00B13B6D">
      <w:pPr>
        <w:pStyle w:val="Style1"/>
      </w:pPr>
      <w:r w:rsidRPr="00BE15AB">
        <w:t>8.</w:t>
      </w:r>
      <w:r w:rsidRPr="00BE15AB">
        <w:tab/>
        <w:t>DATA WYDANIA PIERWSZEGO POZWOLENIA NA DOPUSZCZENIE DO OBROTU</w:t>
      </w:r>
    </w:p>
    <w:p w14:paraId="5C7C337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957E3C" w14:textId="3CE1C628" w:rsidR="00C114FF" w:rsidRPr="00BE15AB" w:rsidRDefault="007B4B8E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Data wydania pierwszego pozwolenia na dopuszczenie do obrotu:</w:t>
      </w:r>
      <w:r w:rsidR="00FF34FA">
        <w:t xml:space="preserve"> </w:t>
      </w:r>
      <w:r w:rsidR="00FF34FA" w:rsidRPr="004447E3">
        <w:rPr>
          <w:szCs w:val="22"/>
        </w:rPr>
        <w:t>09/01/2018</w:t>
      </w:r>
    </w:p>
    <w:p w14:paraId="06189DDD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CE77F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F9E686" w14:textId="1DA12431" w:rsidR="00C114FF" w:rsidRPr="00BE15AB" w:rsidRDefault="007B4B8E" w:rsidP="00B13B6D">
      <w:pPr>
        <w:pStyle w:val="Style1"/>
      </w:pPr>
      <w:r w:rsidRPr="00BE15AB">
        <w:t>9.</w:t>
      </w:r>
      <w:r w:rsidRPr="00BE15AB">
        <w:tab/>
        <w:t>DATA OSTATNIEJ AKTUALIZACJI CHARAKTERYSTYKI PRODUKTU LECZNICZEGO WETER</w:t>
      </w:r>
      <w:r w:rsidR="00E55290">
        <w:t>YN</w:t>
      </w:r>
      <w:r w:rsidRPr="00BE15AB">
        <w:t>ARYJNEGO</w:t>
      </w:r>
    </w:p>
    <w:p w14:paraId="4B0D9864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9C1BE1" w14:textId="53302AAD" w:rsidR="00C114FF" w:rsidRPr="00BE15AB" w:rsidRDefault="00B47ADE" w:rsidP="00A9226B">
      <w:pPr>
        <w:tabs>
          <w:tab w:val="clear" w:pos="567"/>
        </w:tabs>
        <w:spacing w:line="240" w:lineRule="auto"/>
        <w:rPr>
          <w:szCs w:val="22"/>
        </w:rPr>
      </w:pPr>
      <w:r>
        <w:t>10</w:t>
      </w:r>
      <w:r w:rsidR="007B4B8E" w:rsidRPr="00BE15AB">
        <w:t>/</w:t>
      </w:r>
      <w:r>
        <w:t>2023</w:t>
      </w:r>
    </w:p>
    <w:p w14:paraId="554ABBD2" w14:textId="77777777" w:rsidR="0046354E" w:rsidRDefault="0046354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AD2324" w14:textId="77777777" w:rsidR="00CF6762" w:rsidRPr="00BE15AB" w:rsidRDefault="00CF676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19FE2" w14:textId="77777777" w:rsidR="00C114FF" w:rsidRPr="00BE15AB" w:rsidRDefault="007B4B8E" w:rsidP="00B13B6D">
      <w:pPr>
        <w:pStyle w:val="Style1"/>
      </w:pPr>
      <w:r w:rsidRPr="00BE15AB">
        <w:t>10.</w:t>
      </w:r>
      <w:r w:rsidRPr="00BE15AB">
        <w:tab/>
        <w:t>KLASYFIKACJA WETERYNARYJNYCH PRODUKTÓW LECZNICZYCH</w:t>
      </w:r>
    </w:p>
    <w:p w14:paraId="3A4FA74C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29CC3C" w14:textId="17BAEC03" w:rsidR="0078538F" w:rsidRPr="00BE15AB" w:rsidRDefault="007B4B8E" w:rsidP="005201BE">
      <w:pPr>
        <w:numPr>
          <w:ilvl w:val="12"/>
          <w:numId w:val="0"/>
        </w:numPr>
        <w:rPr>
          <w:szCs w:val="22"/>
        </w:rPr>
      </w:pPr>
      <w:r w:rsidRPr="00BE15AB">
        <w:t xml:space="preserve">Wydawany </w:t>
      </w:r>
      <w:r w:rsidR="00242DFF">
        <w:t>na receptę weterynaryjną</w:t>
      </w:r>
      <w:r w:rsidR="000B2E88">
        <w:t>.</w:t>
      </w:r>
    </w:p>
    <w:p w14:paraId="7B8CFF19" w14:textId="77777777" w:rsidR="0078538F" w:rsidRPr="00BE15AB" w:rsidRDefault="0078538F" w:rsidP="0078538F">
      <w:pPr>
        <w:ind w:right="-318"/>
        <w:rPr>
          <w:szCs w:val="22"/>
        </w:rPr>
      </w:pPr>
    </w:p>
    <w:p w14:paraId="6B235219" w14:textId="5261F013" w:rsidR="0078538F" w:rsidRDefault="007B4B8E" w:rsidP="0078538F">
      <w:pPr>
        <w:ind w:right="-318"/>
        <w:rPr>
          <w:i/>
          <w:szCs w:val="22"/>
        </w:rPr>
      </w:pPr>
      <w:bookmarkStart w:id="2" w:name="_Hlk73467306"/>
      <w:r w:rsidRPr="00BE15AB">
        <w:t>Szczegółowe informacje dotyczące powyższego weterynaryjnego produktu leczniczego są dostępne w unijnej bazie danych produktów</w:t>
      </w:r>
      <w:r w:rsidR="00242DFF">
        <w:t xml:space="preserve"> </w:t>
      </w:r>
      <w:r w:rsidR="00242DFF">
        <w:rPr>
          <w:szCs w:val="22"/>
        </w:rPr>
        <w:t>(</w:t>
      </w:r>
      <w:hyperlink r:id="rId11" w:history="1">
        <w:r w:rsidR="00242DFF" w:rsidRPr="001D6052">
          <w:rPr>
            <w:rStyle w:val="Hyperlink"/>
            <w:szCs w:val="22"/>
          </w:rPr>
          <w:t>https://medicines.health.europa.eu/veterinary</w:t>
        </w:r>
      </w:hyperlink>
      <w:r w:rsidR="00242DFF">
        <w:rPr>
          <w:szCs w:val="22"/>
        </w:rPr>
        <w:t>)</w:t>
      </w:r>
      <w:r w:rsidR="00242DFF" w:rsidRPr="00446F37">
        <w:rPr>
          <w:i/>
          <w:szCs w:val="22"/>
        </w:rPr>
        <w:t>.</w:t>
      </w:r>
    </w:p>
    <w:p w14:paraId="1243FCAB" w14:textId="77777777" w:rsidR="009C23E6" w:rsidRPr="00BE15AB" w:rsidRDefault="009C23E6" w:rsidP="0078538F">
      <w:pPr>
        <w:ind w:right="-318"/>
        <w:rPr>
          <w:szCs w:val="22"/>
        </w:rPr>
      </w:pPr>
    </w:p>
    <w:bookmarkEnd w:id="2"/>
    <w:p w14:paraId="743FEDAF" w14:textId="3935C5CC" w:rsidR="00C114FF" w:rsidRPr="00BE15AB" w:rsidRDefault="008924A8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Pozwolenie na dopuszczenie do obrotu wydane przez Komisję Europejską. </w:t>
      </w:r>
    </w:p>
    <w:sectPr w:rsidR="00C114FF" w:rsidRPr="00BE15AB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5C2F0" w14:textId="77777777" w:rsidR="009B0198" w:rsidRDefault="009B0198">
      <w:pPr>
        <w:spacing w:line="240" w:lineRule="auto"/>
      </w:pPr>
      <w:r>
        <w:separator/>
      </w:r>
    </w:p>
  </w:endnote>
  <w:endnote w:type="continuationSeparator" w:id="0">
    <w:p w14:paraId="196DAC55" w14:textId="77777777" w:rsidR="009B0198" w:rsidRDefault="009B0198">
      <w:pPr>
        <w:spacing w:line="240" w:lineRule="auto"/>
      </w:pPr>
      <w:r>
        <w:continuationSeparator/>
      </w:r>
    </w:p>
  </w:endnote>
  <w:endnote w:type="continuationNotice" w:id="1">
    <w:p w14:paraId="7F439761" w14:textId="77777777" w:rsidR="009B0198" w:rsidRDefault="009B019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E36C5" w14:textId="08DCD2EC" w:rsidR="00EC4FD0" w:rsidRPr="00776CA0" w:rsidRDefault="00EC4FD0">
    <w:pPr>
      <w:pStyle w:val="Footer"/>
      <w:tabs>
        <w:tab w:val="clear" w:pos="8930"/>
        <w:tab w:val="right" w:pos="8931"/>
      </w:tabs>
      <w:jc w:val="center"/>
      <w:rPr>
        <w:rFonts w:ascii="Arial" w:hAnsi="Arial" w:cs="Arial"/>
      </w:rPr>
    </w:pPr>
    <w:r w:rsidRPr="00776CA0">
      <w:rPr>
        <w:rFonts w:ascii="Arial" w:hAnsi="Arial" w:cs="Arial"/>
      </w:rPr>
      <w:fldChar w:fldCharType="begin"/>
    </w:r>
    <w:r w:rsidRPr="00776CA0">
      <w:rPr>
        <w:rFonts w:ascii="Arial" w:hAnsi="Arial" w:cs="Arial"/>
      </w:rPr>
      <w:instrText xml:space="preserve"> PAGE  \* MERGEFORMAT </w:instrText>
    </w:r>
    <w:r w:rsidRPr="00776CA0">
      <w:rPr>
        <w:rFonts w:ascii="Arial" w:hAnsi="Arial" w:cs="Arial"/>
      </w:rPr>
      <w:fldChar w:fldCharType="separate"/>
    </w:r>
    <w:r w:rsidR="004D6A93" w:rsidRPr="00776CA0">
      <w:rPr>
        <w:rFonts w:ascii="Arial" w:hAnsi="Arial" w:cs="Arial"/>
        <w:noProof/>
      </w:rPr>
      <w:t>24</w:t>
    </w:r>
    <w:r w:rsidRPr="00776CA0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F94DA" w14:textId="77777777" w:rsidR="00EC4FD0" w:rsidRPr="00BE15AB" w:rsidRDefault="00EC4FD0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3606F" w14:textId="77777777" w:rsidR="009B0198" w:rsidRDefault="009B0198">
      <w:pPr>
        <w:spacing w:line="240" w:lineRule="auto"/>
      </w:pPr>
      <w:r>
        <w:separator/>
      </w:r>
    </w:p>
  </w:footnote>
  <w:footnote w:type="continuationSeparator" w:id="0">
    <w:p w14:paraId="37B2B274" w14:textId="77777777" w:rsidR="009B0198" w:rsidRDefault="009B0198">
      <w:pPr>
        <w:spacing w:line="240" w:lineRule="auto"/>
      </w:pPr>
      <w:r>
        <w:continuationSeparator/>
      </w:r>
    </w:p>
  </w:footnote>
  <w:footnote w:type="continuationNotice" w:id="1">
    <w:p w14:paraId="699ED4BB" w14:textId="77777777" w:rsidR="009B0198" w:rsidRDefault="009B019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DF66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2A7D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DAA6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68B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E434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761A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C87F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508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3C5F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354B62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A8269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C80E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D25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784A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4EC9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242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1EEA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7C59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C042E6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CBA9E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32CEEF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D4451F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EE02B3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9F6266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036832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B1EB61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924ED5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EC0895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0CC21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CC8DB2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ECE77A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3C8CEA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76A580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DD4DCE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966AB5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226C5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4C0F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76E3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8854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A6B8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D44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C0A2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869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7010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A4BD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F50D3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0488E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A45C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5CAF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2A5D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D440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6C05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FCD7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9825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BB2039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2802C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550B7A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2AE1B5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4AC9D3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40C35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5FA1AE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9EAF5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A0254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094A9C4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EF29B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7287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A452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A7D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22E0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88BC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1A59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4C1D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053AC2B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2C2B3B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92C95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9A56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0D6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30AF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2A73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B895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3274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E76EF3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FB889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4054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30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4AD9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ACB8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50AB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D04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BEA0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35A42F3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8A3A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C26F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BEC7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0CD1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16AE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EE7D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FA2F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FE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90EE69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65086F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6ACB7E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11E467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1EAB6D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B089F8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FA853A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798454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FEAC33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A12653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6826C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3C6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9C25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860C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26C3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50CF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10F7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E088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3306D5F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C9E26B0" w:tentative="1">
      <w:start w:val="1"/>
      <w:numFmt w:val="lowerLetter"/>
      <w:lvlText w:val="%2."/>
      <w:lvlJc w:val="left"/>
      <w:pPr>
        <w:ind w:left="1440" w:hanging="360"/>
      </w:pPr>
    </w:lvl>
    <w:lvl w:ilvl="2" w:tplc="9640A08C" w:tentative="1">
      <w:start w:val="1"/>
      <w:numFmt w:val="lowerRoman"/>
      <w:lvlText w:val="%3."/>
      <w:lvlJc w:val="right"/>
      <w:pPr>
        <w:ind w:left="2160" w:hanging="180"/>
      </w:pPr>
    </w:lvl>
    <w:lvl w:ilvl="3" w:tplc="C2108644" w:tentative="1">
      <w:start w:val="1"/>
      <w:numFmt w:val="decimal"/>
      <w:lvlText w:val="%4."/>
      <w:lvlJc w:val="left"/>
      <w:pPr>
        <w:ind w:left="2880" w:hanging="360"/>
      </w:pPr>
    </w:lvl>
    <w:lvl w:ilvl="4" w:tplc="7C763382" w:tentative="1">
      <w:start w:val="1"/>
      <w:numFmt w:val="lowerLetter"/>
      <w:lvlText w:val="%5."/>
      <w:lvlJc w:val="left"/>
      <w:pPr>
        <w:ind w:left="3600" w:hanging="360"/>
      </w:pPr>
    </w:lvl>
    <w:lvl w:ilvl="5" w:tplc="7A50BAF6" w:tentative="1">
      <w:start w:val="1"/>
      <w:numFmt w:val="lowerRoman"/>
      <w:lvlText w:val="%6."/>
      <w:lvlJc w:val="right"/>
      <w:pPr>
        <w:ind w:left="4320" w:hanging="180"/>
      </w:pPr>
    </w:lvl>
    <w:lvl w:ilvl="6" w:tplc="23C20E66" w:tentative="1">
      <w:start w:val="1"/>
      <w:numFmt w:val="decimal"/>
      <w:lvlText w:val="%7."/>
      <w:lvlJc w:val="left"/>
      <w:pPr>
        <w:ind w:left="5040" w:hanging="360"/>
      </w:pPr>
    </w:lvl>
    <w:lvl w:ilvl="7" w:tplc="AD54040C" w:tentative="1">
      <w:start w:val="1"/>
      <w:numFmt w:val="lowerLetter"/>
      <w:lvlText w:val="%8."/>
      <w:lvlJc w:val="left"/>
      <w:pPr>
        <w:ind w:left="5760" w:hanging="360"/>
      </w:pPr>
    </w:lvl>
    <w:lvl w:ilvl="8" w:tplc="B0B0EB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EBA6E48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A2C6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A61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5E58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80CA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86B7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CCA0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2EC3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96AE8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B8680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6C8F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8662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9C94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3E09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D289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5211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9292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B016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8DEC3AB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4965B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20AA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0DD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4434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828A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C274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E40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6644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7D34D2C4">
      <w:start w:val="1"/>
      <w:numFmt w:val="decimal"/>
      <w:lvlText w:val="%1."/>
      <w:lvlJc w:val="left"/>
      <w:pPr>
        <w:ind w:left="720" w:hanging="360"/>
      </w:pPr>
    </w:lvl>
    <w:lvl w:ilvl="1" w:tplc="4DA4ED72" w:tentative="1">
      <w:start w:val="1"/>
      <w:numFmt w:val="lowerLetter"/>
      <w:lvlText w:val="%2."/>
      <w:lvlJc w:val="left"/>
      <w:pPr>
        <w:ind w:left="1440" w:hanging="360"/>
      </w:pPr>
    </w:lvl>
    <w:lvl w:ilvl="2" w:tplc="EE200AEE" w:tentative="1">
      <w:start w:val="1"/>
      <w:numFmt w:val="lowerRoman"/>
      <w:lvlText w:val="%3."/>
      <w:lvlJc w:val="right"/>
      <w:pPr>
        <w:ind w:left="2160" w:hanging="180"/>
      </w:pPr>
    </w:lvl>
    <w:lvl w:ilvl="3" w:tplc="BBC040FE" w:tentative="1">
      <w:start w:val="1"/>
      <w:numFmt w:val="decimal"/>
      <w:lvlText w:val="%4."/>
      <w:lvlJc w:val="left"/>
      <w:pPr>
        <w:ind w:left="2880" w:hanging="360"/>
      </w:pPr>
    </w:lvl>
    <w:lvl w:ilvl="4" w:tplc="CA98C918" w:tentative="1">
      <w:start w:val="1"/>
      <w:numFmt w:val="lowerLetter"/>
      <w:lvlText w:val="%5."/>
      <w:lvlJc w:val="left"/>
      <w:pPr>
        <w:ind w:left="3600" w:hanging="360"/>
      </w:pPr>
    </w:lvl>
    <w:lvl w:ilvl="5" w:tplc="279E2984" w:tentative="1">
      <w:start w:val="1"/>
      <w:numFmt w:val="lowerRoman"/>
      <w:lvlText w:val="%6."/>
      <w:lvlJc w:val="right"/>
      <w:pPr>
        <w:ind w:left="4320" w:hanging="180"/>
      </w:pPr>
    </w:lvl>
    <w:lvl w:ilvl="6" w:tplc="2E2E21D4" w:tentative="1">
      <w:start w:val="1"/>
      <w:numFmt w:val="decimal"/>
      <w:lvlText w:val="%7."/>
      <w:lvlJc w:val="left"/>
      <w:pPr>
        <w:ind w:left="5040" w:hanging="360"/>
      </w:pPr>
    </w:lvl>
    <w:lvl w:ilvl="7" w:tplc="14741800" w:tentative="1">
      <w:start w:val="1"/>
      <w:numFmt w:val="lowerLetter"/>
      <w:lvlText w:val="%8."/>
      <w:lvlJc w:val="left"/>
      <w:pPr>
        <w:ind w:left="5760" w:hanging="360"/>
      </w:pPr>
    </w:lvl>
    <w:lvl w:ilvl="8" w:tplc="1ADE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03458A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65093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9C63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0A66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3EC2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FCB9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306D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A87A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10C7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42273043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38117548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698966190">
    <w:abstractNumId w:val="33"/>
  </w:num>
  <w:num w:numId="4" w16cid:durableId="930165593">
    <w:abstractNumId w:val="32"/>
  </w:num>
  <w:num w:numId="5" w16cid:durableId="1863737450">
    <w:abstractNumId w:val="13"/>
  </w:num>
  <w:num w:numId="6" w16cid:durableId="1703281024">
    <w:abstractNumId w:val="24"/>
  </w:num>
  <w:num w:numId="7" w16cid:durableId="443116577">
    <w:abstractNumId w:val="19"/>
  </w:num>
  <w:num w:numId="8" w16cid:durableId="1147354645">
    <w:abstractNumId w:val="9"/>
  </w:num>
  <w:num w:numId="9" w16cid:durableId="1138690902">
    <w:abstractNumId w:val="30"/>
  </w:num>
  <w:num w:numId="10" w16cid:durableId="1545558342">
    <w:abstractNumId w:val="31"/>
  </w:num>
  <w:num w:numId="11" w16cid:durableId="1148092195">
    <w:abstractNumId w:val="15"/>
  </w:num>
  <w:num w:numId="12" w16cid:durableId="494493829">
    <w:abstractNumId w:val="14"/>
  </w:num>
  <w:num w:numId="13" w16cid:durableId="1123622725">
    <w:abstractNumId w:val="3"/>
  </w:num>
  <w:num w:numId="14" w16cid:durableId="1994677932">
    <w:abstractNumId w:val="29"/>
  </w:num>
  <w:num w:numId="15" w16cid:durableId="1385107765">
    <w:abstractNumId w:val="18"/>
  </w:num>
  <w:num w:numId="16" w16cid:durableId="1548563467">
    <w:abstractNumId w:val="34"/>
  </w:num>
  <w:num w:numId="17" w16cid:durableId="1581717894">
    <w:abstractNumId w:val="10"/>
  </w:num>
  <w:num w:numId="18" w16cid:durableId="68969701">
    <w:abstractNumId w:val="1"/>
  </w:num>
  <w:num w:numId="19" w16cid:durableId="598870609">
    <w:abstractNumId w:val="16"/>
  </w:num>
  <w:num w:numId="20" w16cid:durableId="1951626796">
    <w:abstractNumId w:val="4"/>
  </w:num>
  <w:num w:numId="21" w16cid:durableId="1106927612">
    <w:abstractNumId w:val="8"/>
  </w:num>
  <w:num w:numId="22" w16cid:durableId="755790588">
    <w:abstractNumId w:val="26"/>
  </w:num>
  <w:num w:numId="23" w16cid:durableId="1476412020">
    <w:abstractNumId w:val="35"/>
  </w:num>
  <w:num w:numId="24" w16cid:durableId="1705713868">
    <w:abstractNumId w:val="21"/>
  </w:num>
  <w:num w:numId="25" w16cid:durableId="168565501">
    <w:abstractNumId w:val="11"/>
  </w:num>
  <w:num w:numId="26" w16cid:durableId="557715692">
    <w:abstractNumId w:val="12"/>
  </w:num>
  <w:num w:numId="27" w16cid:durableId="1513568244">
    <w:abstractNumId w:val="6"/>
  </w:num>
  <w:num w:numId="28" w16cid:durableId="1638148199">
    <w:abstractNumId w:val="7"/>
  </w:num>
  <w:num w:numId="29" w16cid:durableId="2028749832">
    <w:abstractNumId w:val="22"/>
  </w:num>
  <w:num w:numId="30" w16cid:durableId="570238908">
    <w:abstractNumId w:val="37"/>
  </w:num>
  <w:num w:numId="31" w16cid:durableId="428627145">
    <w:abstractNumId w:val="38"/>
  </w:num>
  <w:num w:numId="32" w16cid:durableId="397047722">
    <w:abstractNumId w:val="20"/>
  </w:num>
  <w:num w:numId="33" w16cid:durableId="529727845">
    <w:abstractNumId w:val="28"/>
  </w:num>
  <w:num w:numId="34" w16cid:durableId="923337573">
    <w:abstractNumId w:val="23"/>
  </w:num>
  <w:num w:numId="35" w16cid:durableId="1897350455">
    <w:abstractNumId w:val="2"/>
  </w:num>
  <w:num w:numId="36" w16cid:durableId="1484160556">
    <w:abstractNumId w:val="5"/>
  </w:num>
  <w:num w:numId="37" w16cid:durableId="583612436">
    <w:abstractNumId w:val="25"/>
  </w:num>
  <w:num w:numId="38" w16cid:durableId="206532719">
    <w:abstractNumId w:val="17"/>
  </w:num>
  <w:num w:numId="39" w16cid:durableId="1894266616">
    <w:abstractNumId w:val="36"/>
  </w:num>
  <w:num w:numId="40" w16cid:durableId="18944591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3981"/>
    <w:rsid w:val="00004122"/>
    <w:rsid w:val="000043F9"/>
    <w:rsid w:val="00021B82"/>
    <w:rsid w:val="00023827"/>
    <w:rsid w:val="00024777"/>
    <w:rsid w:val="00024E21"/>
    <w:rsid w:val="00027100"/>
    <w:rsid w:val="000304DF"/>
    <w:rsid w:val="0003318F"/>
    <w:rsid w:val="00033A77"/>
    <w:rsid w:val="0003513B"/>
    <w:rsid w:val="00036C50"/>
    <w:rsid w:val="00046755"/>
    <w:rsid w:val="0005002F"/>
    <w:rsid w:val="000516CD"/>
    <w:rsid w:val="00052D2B"/>
    <w:rsid w:val="00054F55"/>
    <w:rsid w:val="00055801"/>
    <w:rsid w:val="00056102"/>
    <w:rsid w:val="0005731C"/>
    <w:rsid w:val="00062945"/>
    <w:rsid w:val="000678CD"/>
    <w:rsid w:val="00072A99"/>
    <w:rsid w:val="00074C87"/>
    <w:rsid w:val="000756EB"/>
    <w:rsid w:val="0007666D"/>
    <w:rsid w:val="000770F6"/>
    <w:rsid w:val="00077951"/>
    <w:rsid w:val="00080453"/>
    <w:rsid w:val="0008169A"/>
    <w:rsid w:val="00082200"/>
    <w:rsid w:val="0008422C"/>
    <w:rsid w:val="000849E6"/>
    <w:rsid w:val="000860CE"/>
    <w:rsid w:val="00087337"/>
    <w:rsid w:val="00092A37"/>
    <w:rsid w:val="000938A6"/>
    <w:rsid w:val="00096E78"/>
    <w:rsid w:val="00097C1E"/>
    <w:rsid w:val="000A1DF5"/>
    <w:rsid w:val="000A2A1A"/>
    <w:rsid w:val="000A5BB0"/>
    <w:rsid w:val="000B2E88"/>
    <w:rsid w:val="000B7873"/>
    <w:rsid w:val="000C02A1"/>
    <w:rsid w:val="000C1D4F"/>
    <w:rsid w:val="000C3D0C"/>
    <w:rsid w:val="000C3ED7"/>
    <w:rsid w:val="000C55E6"/>
    <w:rsid w:val="000C687A"/>
    <w:rsid w:val="000C7BE5"/>
    <w:rsid w:val="000D2BBE"/>
    <w:rsid w:val="000D2FE6"/>
    <w:rsid w:val="000D67D0"/>
    <w:rsid w:val="000E195C"/>
    <w:rsid w:val="000E2260"/>
    <w:rsid w:val="000E3602"/>
    <w:rsid w:val="000E5B34"/>
    <w:rsid w:val="000E705A"/>
    <w:rsid w:val="000E7D06"/>
    <w:rsid w:val="000F22AB"/>
    <w:rsid w:val="000F38DA"/>
    <w:rsid w:val="000F39AC"/>
    <w:rsid w:val="000F5822"/>
    <w:rsid w:val="000F63F1"/>
    <w:rsid w:val="000F796B"/>
    <w:rsid w:val="0010031E"/>
    <w:rsid w:val="001012EB"/>
    <w:rsid w:val="001030ED"/>
    <w:rsid w:val="00103EDF"/>
    <w:rsid w:val="00107025"/>
    <w:rsid w:val="001074D4"/>
    <w:rsid w:val="001078D1"/>
    <w:rsid w:val="001109DF"/>
    <w:rsid w:val="00111185"/>
    <w:rsid w:val="00115782"/>
    <w:rsid w:val="00116BE8"/>
    <w:rsid w:val="0012243D"/>
    <w:rsid w:val="00124F36"/>
    <w:rsid w:val="0012520B"/>
    <w:rsid w:val="00125666"/>
    <w:rsid w:val="00125C80"/>
    <w:rsid w:val="001308A4"/>
    <w:rsid w:val="00132C47"/>
    <w:rsid w:val="00133631"/>
    <w:rsid w:val="001359C0"/>
    <w:rsid w:val="0013799F"/>
    <w:rsid w:val="00140DF6"/>
    <w:rsid w:val="00141C04"/>
    <w:rsid w:val="00142A1F"/>
    <w:rsid w:val="00145C3F"/>
    <w:rsid w:val="00145D34"/>
    <w:rsid w:val="00146284"/>
    <w:rsid w:val="0014690F"/>
    <w:rsid w:val="0015098E"/>
    <w:rsid w:val="001537AD"/>
    <w:rsid w:val="00164543"/>
    <w:rsid w:val="0016513D"/>
    <w:rsid w:val="001674D3"/>
    <w:rsid w:val="00171302"/>
    <w:rsid w:val="00172771"/>
    <w:rsid w:val="00175264"/>
    <w:rsid w:val="0017618A"/>
    <w:rsid w:val="001803D2"/>
    <w:rsid w:val="00180845"/>
    <w:rsid w:val="0018228B"/>
    <w:rsid w:val="0018334A"/>
    <w:rsid w:val="00185B50"/>
    <w:rsid w:val="0018625C"/>
    <w:rsid w:val="0018657D"/>
    <w:rsid w:val="00187A5D"/>
    <w:rsid w:val="00187DE7"/>
    <w:rsid w:val="00187E59"/>
    <w:rsid w:val="00187E62"/>
    <w:rsid w:val="00192045"/>
    <w:rsid w:val="00192D98"/>
    <w:rsid w:val="00193B14"/>
    <w:rsid w:val="00193E72"/>
    <w:rsid w:val="00195267"/>
    <w:rsid w:val="00195A89"/>
    <w:rsid w:val="0019600B"/>
    <w:rsid w:val="0019686E"/>
    <w:rsid w:val="00196CDF"/>
    <w:rsid w:val="001A0E2C"/>
    <w:rsid w:val="001A28C9"/>
    <w:rsid w:val="001A34BC"/>
    <w:rsid w:val="001A3980"/>
    <w:rsid w:val="001B0E55"/>
    <w:rsid w:val="001B1C77"/>
    <w:rsid w:val="001B26EB"/>
    <w:rsid w:val="001B48EA"/>
    <w:rsid w:val="001B6F4A"/>
    <w:rsid w:val="001B74F6"/>
    <w:rsid w:val="001B77C1"/>
    <w:rsid w:val="001C03FB"/>
    <w:rsid w:val="001C5288"/>
    <w:rsid w:val="001C5B03"/>
    <w:rsid w:val="001D23E0"/>
    <w:rsid w:val="001D4CE4"/>
    <w:rsid w:val="001D6052"/>
    <w:rsid w:val="001D6D96"/>
    <w:rsid w:val="001E51DD"/>
    <w:rsid w:val="001E5621"/>
    <w:rsid w:val="001F3239"/>
    <w:rsid w:val="001F3EF9"/>
    <w:rsid w:val="001F627D"/>
    <w:rsid w:val="001F6622"/>
    <w:rsid w:val="00200EFE"/>
    <w:rsid w:val="0020126C"/>
    <w:rsid w:val="00205D19"/>
    <w:rsid w:val="00206067"/>
    <w:rsid w:val="00206F93"/>
    <w:rsid w:val="002100FC"/>
    <w:rsid w:val="00213516"/>
    <w:rsid w:val="00213890"/>
    <w:rsid w:val="002138B5"/>
    <w:rsid w:val="00214E52"/>
    <w:rsid w:val="00215A4A"/>
    <w:rsid w:val="002207C0"/>
    <w:rsid w:val="0022306F"/>
    <w:rsid w:val="0022368F"/>
    <w:rsid w:val="0022380D"/>
    <w:rsid w:val="00224B93"/>
    <w:rsid w:val="002278C0"/>
    <w:rsid w:val="00227F9F"/>
    <w:rsid w:val="002306F6"/>
    <w:rsid w:val="00231548"/>
    <w:rsid w:val="0023676E"/>
    <w:rsid w:val="00236B4C"/>
    <w:rsid w:val="00240E19"/>
    <w:rsid w:val="002414B6"/>
    <w:rsid w:val="00241ED3"/>
    <w:rsid w:val="002422EB"/>
    <w:rsid w:val="00242397"/>
    <w:rsid w:val="00242DFF"/>
    <w:rsid w:val="00246FDA"/>
    <w:rsid w:val="00247A48"/>
    <w:rsid w:val="00250DD1"/>
    <w:rsid w:val="00251183"/>
    <w:rsid w:val="00251361"/>
    <w:rsid w:val="00251689"/>
    <w:rsid w:val="00251C27"/>
    <w:rsid w:val="0025267C"/>
    <w:rsid w:val="00253B6B"/>
    <w:rsid w:val="0025666E"/>
    <w:rsid w:val="002571A5"/>
    <w:rsid w:val="00257F93"/>
    <w:rsid w:val="00263291"/>
    <w:rsid w:val="00265656"/>
    <w:rsid w:val="00265E77"/>
    <w:rsid w:val="00266155"/>
    <w:rsid w:val="002679B9"/>
    <w:rsid w:val="0027270B"/>
    <w:rsid w:val="00274D17"/>
    <w:rsid w:val="00282E7B"/>
    <w:rsid w:val="002838C8"/>
    <w:rsid w:val="00290805"/>
    <w:rsid w:val="00290C2A"/>
    <w:rsid w:val="00290D2B"/>
    <w:rsid w:val="00291744"/>
    <w:rsid w:val="00291B04"/>
    <w:rsid w:val="0029296F"/>
    <w:rsid w:val="002931DD"/>
    <w:rsid w:val="00295140"/>
    <w:rsid w:val="00295D33"/>
    <w:rsid w:val="002A0E7C"/>
    <w:rsid w:val="002A21ED"/>
    <w:rsid w:val="002A3F88"/>
    <w:rsid w:val="002A5C86"/>
    <w:rsid w:val="002A5E32"/>
    <w:rsid w:val="002A710D"/>
    <w:rsid w:val="002B0F11"/>
    <w:rsid w:val="002B2955"/>
    <w:rsid w:val="002B2E17"/>
    <w:rsid w:val="002B3724"/>
    <w:rsid w:val="002B439F"/>
    <w:rsid w:val="002B6560"/>
    <w:rsid w:val="002B79A8"/>
    <w:rsid w:val="002C55FF"/>
    <w:rsid w:val="002C592B"/>
    <w:rsid w:val="002C7845"/>
    <w:rsid w:val="002C7A85"/>
    <w:rsid w:val="002C7DC3"/>
    <w:rsid w:val="002C7F61"/>
    <w:rsid w:val="002D300D"/>
    <w:rsid w:val="002E073C"/>
    <w:rsid w:val="002E0CD4"/>
    <w:rsid w:val="002E3A90"/>
    <w:rsid w:val="002E46CC"/>
    <w:rsid w:val="002E4F48"/>
    <w:rsid w:val="002E529D"/>
    <w:rsid w:val="002E62CB"/>
    <w:rsid w:val="002E6DF1"/>
    <w:rsid w:val="002E6ED9"/>
    <w:rsid w:val="002F0957"/>
    <w:rsid w:val="002F41AD"/>
    <w:rsid w:val="002F43F6"/>
    <w:rsid w:val="002F6DAA"/>
    <w:rsid w:val="002F71D5"/>
    <w:rsid w:val="003007AF"/>
    <w:rsid w:val="0030090B"/>
    <w:rsid w:val="0030170D"/>
    <w:rsid w:val="0030180D"/>
    <w:rsid w:val="003020BB"/>
    <w:rsid w:val="00302266"/>
    <w:rsid w:val="00304393"/>
    <w:rsid w:val="00305AB2"/>
    <w:rsid w:val="0031032B"/>
    <w:rsid w:val="003109E2"/>
    <w:rsid w:val="003134C1"/>
    <w:rsid w:val="00316E87"/>
    <w:rsid w:val="00320C2F"/>
    <w:rsid w:val="00322D92"/>
    <w:rsid w:val="0032453E"/>
    <w:rsid w:val="00325053"/>
    <w:rsid w:val="003253E5"/>
    <w:rsid w:val="003256AC"/>
    <w:rsid w:val="0033129D"/>
    <w:rsid w:val="003320ED"/>
    <w:rsid w:val="003339CC"/>
    <w:rsid w:val="0033446A"/>
    <w:rsid w:val="0033480E"/>
    <w:rsid w:val="00335976"/>
    <w:rsid w:val="00335B9B"/>
    <w:rsid w:val="00336F3E"/>
    <w:rsid w:val="00337123"/>
    <w:rsid w:val="00341866"/>
    <w:rsid w:val="00342C0C"/>
    <w:rsid w:val="00350911"/>
    <w:rsid w:val="003535E0"/>
    <w:rsid w:val="003543AC"/>
    <w:rsid w:val="00355D02"/>
    <w:rsid w:val="00360808"/>
    <w:rsid w:val="00360BA8"/>
    <w:rsid w:val="00366973"/>
    <w:rsid w:val="00366AA4"/>
    <w:rsid w:val="00366F56"/>
    <w:rsid w:val="003678BB"/>
    <w:rsid w:val="00371BF4"/>
    <w:rsid w:val="003737C8"/>
    <w:rsid w:val="00375468"/>
    <w:rsid w:val="0037589D"/>
    <w:rsid w:val="003763A5"/>
    <w:rsid w:val="00376BB1"/>
    <w:rsid w:val="00377E23"/>
    <w:rsid w:val="0038277C"/>
    <w:rsid w:val="0038368B"/>
    <w:rsid w:val="003837F1"/>
    <w:rsid w:val="003841FC"/>
    <w:rsid w:val="0038638B"/>
    <w:rsid w:val="003909E0"/>
    <w:rsid w:val="00393E09"/>
    <w:rsid w:val="00394977"/>
    <w:rsid w:val="00395B15"/>
    <w:rsid w:val="00396026"/>
    <w:rsid w:val="003A2160"/>
    <w:rsid w:val="003A2D51"/>
    <w:rsid w:val="003A31B9"/>
    <w:rsid w:val="003A3E2F"/>
    <w:rsid w:val="003A4E13"/>
    <w:rsid w:val="003A65A4"/>
    <w:rsid w:val="003A6CCB"/>
    <w:rsid w:val="003A7059"/>
    <w:rsid w:val="003A72B7"/>
    <w:rsid w:val="003A7ABF"/>
    <w:rsid w:val="003B01E0"/>
    <w:rsid w:val="003B10C4"/>
    <w:rsid w:val="003B2DD8"/>
    <w:rsid w:val="003B465E"/>
    <w:rsid w:val="003B48EB"/>
    <w:rsid w:val="003B5CD1"/>
    <w:rsid w:val="003C1E27"/>
    <w:rsid w:val="003C3174"/>
    <w:rsid w:val="003C33FF"/>
    <w:rsid w:val="003C64A5"/>
    <w:rsid w:val="003D03CC"/>
    <w:rsid w:val="003D378C"/>
    <w:rsid w:val="003D3893"/>
    <w:rsid w:val="003D4BB7"/>
    <w:rsid w:val="003E0116"/>
    <w:rsid w:val="003E10EE"/>
    <w:rsid w:val="003E26C3"/>
    <w:rsid w:val="003E6CC1"/>
    <w:rsid w:val="003F0BC8"/>
    <w:rsid w:val="003F0D6C"/>
    <w:rsid w:val="003F0F26"/>
    <w:rsid w:val="003F12D9"/>
    <w:rsid w:val="003F1B4C"/>
    <w:rsid w:val="003F33DF"/>
    <w:rsid w:val="003F36C0"/>
    <w:rsid w:val="003F3CE6"/>
    <w:rsid w:val="003F677F"/>
    <w:rsid w:val="004008F6"/>
    <w:rsid w:val="00400C7E"/>
    <w:rsid w:val="00403EA9"/>
    <w:rsid w:val="004048C2"/>
    <w:rsid w:val="00405728"/>
    <w:rsid w:val="004063BC"/>
    <w:rsid w:val="00407C22"/>
    <w:rsid w:val="00412BBE"/>
    <w:rsid w:val="00414B20"/>
    <w:rsid w:val="0041628A"/>
    <w:rsid w:val="00416C1B"/>
    <w:rsid w:val="00417DE3"/>
    <w:rsid w:val="00420850"/>
    <w:rsid w:val="00423968"/>
    <w:rsid w:val="00425DC6"/>
    <w:rsid w:val="004264D8"/>
    <w:rsid w:val="00427054"/>
    <w:rsid w:val="004304B1"/>
    <w:rsid w:val="00432BFF"/>
    <w:rsid w:val="00432DA8"/>
    <w:rsid w:val="0043320A"/>
    <w:rsid w:val="004332E3"/>
    <w:rsid w:val="004371A3"/>
    <w:rsid w:val="004413FE"/>
    <w:rsid w:val="004445FB"/>
    <w:rsid w:val="00445E03"/>
    <w:rsid w:val="00446960"/>
    <w:rsid w:val="00446BA5"/>
    <w:rsid w:val="00446E09"/>
    <w:rsid w:val="00446F37"/>
    <w:rsid w:val="00450325"/>
    <w:rsid w:val="004518A6"/>
    <w:rsid w:val="00453E1D"/>
    <w:rsid w:val="00454589"/>
    <w:rsid w:val="00454C3E"/>
    <w:rsid w:val="00456ED0"/>
    <w:rsid w:val="00457550"/>
    <w:rsid w:val="00457B74"/>
    <w:rsid w:val="0046045F"/>
    <w:rsid w:val="00461B2A"/>
    <w:rsid w:val="004620A4"/>
    <w:rsid w:val="0046354E"/>
    <w:rsid w:val="00463E77"/>
    <w:rsid w:val="00466725"/>
    <w:rsid w:val="00474C50"/>
    <w:rsid w:val="00475DA1"/>
    <w:rsid w:val="004771F9"/>
    <w:rsid w:val="00484015"/>
    <w:rsid w:val="00484190"/>
    <w:rsid w:val="004849CC"/>
    <w:rsid w:val="00486006"/>
    <w:rsid w:val="00486BAD"/>
    <w:rsid w:val="00486BBE"/>
    <w:rsid w:val="00487123"/>
    <w:rsid w:val="00495A75"/>
    <w:rsid w:val="00495CAE"/>
    <w:rsid w:val="004967CD"/>
    <w:rsid w:val="00497F40"/>
    <w:rsid w:val="004A08B3"/>
    <w:rsid w:val="004A17AE"/>
    <w:rsid w:val="004A1BD5"/>
    <w:rsid w:val="004A3CE3"/>
    <w:rsid w:val="004A61E1"/>
    <w:rsid w:val="004B0295"/>
    <w:rsid w:val="004B1A75"/>
    <w:rsid w:val="004B2344"/>
    <w:rsid w:val="004B4F5A"/>
    <w:rsid w:val="004B5797"/>
    <w:rsid w:val="004B5DDC"/>
    <w:rsid w:val="004B65D1"/>
    <w:rsid w:val="004B7252"/>
    <w:rsid w:val="004B798E"/>
    <w:rsid w:val="004B7BAD"/>
    <w:rsid w:val="004C1048"/>
    <w:rsid w:val="004C2ABD"/>
    <w:rsid w:val="004C5F62"/>
    <w:rsid w:val="004C6808"/>
    <w:rsid w:val="004C6D57"/>
    <w:rsid w:val="004D3E58"/>
    <w:rsid w:val="004D6746"/>
    <w:rsid w:val="004D6A93"/>
    <w:rsid w:val="004D767B"/>
    <w:rsid w:val="004E0F32"/>
    <w:rsid w:val="004E109F"/>
    <w:rsid w:val="004E23A1"/>
    <w:rsid w:val="004E493C"/>
    <w:rsid w:val="004E623E"/>
    <w:rsid w:val="004E7016"/>
    <w:rsid w:val="004E7092"/>
    <w:rsid w:val="004E719E"/>
    <w:rsid w:val="004E7ECE"/>
    <w:rsid w:val="004F31DB"/>
    <w:rsid w:val="004F4DB1"/>
    <w:rsid w:val="004F5F89"/>
    <w:rsid w:val="004F6F64"/>
    <w:rsid w:val="005004EC"/>
    <w:rsid w:val="00501D0E"/>
    <w:rsid w:val="00502C1A"/>
    <w:rsid w:val="00506AAE"/>
    <w:rsid w:val="00517756"/>
    <w:rsid w:val="005201BE"/>
    <w:rsid w:val="005202C6"/>
    <w:rsid w:val="00522709"/>
    <w:rsid w:val="00523C53"/>
    <w:rsid w:val="00525BC7"/>
    <w:rsid w:val="00527B8F"/>
    <w:rsid w:val="00527D44"/>
    <w:rsid w:val="005369BB"/>
    <w:rsid w:val="0054134B"/>
    <w:rsid w:val="00542012"/>
    <w:rsid w:val="00543163"/>
    <w:rsid w:val="00543DF5"/>
    <w:rsid w:val="005440B2"/>
    <w:rsid w:val="00545A61"/>
    <w:rsid w:val="0055260D"/>
    <w:rsid w:val="00555422"/>
    <w:rsid w:val="00555810"/>
    <w:rsid w:val="00555FB1"/>
    <w:rsid w:val="005560F0"/>
    <w:rsid w:val="00557452"/>
    <w:rsid w:val="005615A8"/>
    <w:rsid w:val="00562DCA"/>
    <w:rsid w:val="00564744"/>
    <w:rsid w:val="0056568F"/>
    <w:rsid w:val="00572A85"/>
    <w:rsid w:val="0057436C"/>
    <w:rsid w:val="00575DE3"/>
    <w:rsid w:val="005810E8"/>
    <w:rsid w:val="00582578"/>
    <w:rsid w:val="00582E5D"/>
    <w:rsid w:val="0058413D"/>
    <w:rsid w:val="0058446B"/>
    <w:rsid w:val="0058621D"/>
    <w:rsid w:val="00587BE6"/>
    <w:rsid w:val="005A4CBE"/>
    <w:rsid w:val="005A6EAF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647"/>
    <w:rsid w:val="005C5FB9"/>
    <w:rsid w:val="005D380C"/>
    <w:rsid w:val="005D572E"/>
    <w:rsid w:val="005D6E04"/>
    <w:rsid w:val="005D7A12"/>
    <w:rsid w:val="005E3B49"/>
    <w:rsid w:val="005E53EE"/>
    <w:rsid w:val="005F0357"/>
    <w:rsid w:val="005F0542"/>
    <w:rsid w:val="005F0F72"/>
    <w:rsid w:val="005F1C1F"/>
    <w:rsid w:val="005F346D"/>
    <w:rsid w:val="005F38FB"/>
    <w:rsid w:val="005F436F"/>
    <w:rsid w:val="005F4665"/>
    <w:rsid w:val="005F7A59"/>
    <w:rsid w:val="00602D3B"/>
    <w:rsid w:val="0060326F"/>
    <w:rsid w:val="0060534D"/>
    <w:rsid w:val="00606EA1"/>
    <w:rsid w:val="006128F0"/>
    <w:rsid w:val="0061726B"/>
    <w:rsid w:val="0061758A"/>
    <w:rsid w:val="00617B81"/>
    <w:rsid w:val="0062144E"/>
    <w:rsid w:val="0062387A"/>
    <w:rsid w:val="00623DC5"/>
    <w:rsid w:val="00624D0B"/>
    <w:rsid w:val="006269CC"/>
    <w:rsid w:val="006326D8"/>
    <w:rsid w:val="0063377D"/>
    <w:rsid w:val="00633EF9"/>
    <w:rsid w:val="006343DB"/>
    <w:rsid w:val="006343E3"/>
    <w:rsid w:val="006344BE"/>
    <w:rsid w:val="00634A66"/>
    <w:rsid w:val="00640336"/>
    <w:rsid w:val="00640FC9"/>
    <w:rsid w:val="006414D3"/>
    <w:rsid w:val="006432F2"/>
    <w:rsid w:val="006445E9"/>
    <w:rsid w:val="0065204D"/>
    <w:rsid w:val="0065320F"/>
    <w:rsid w:val="00653D64"/>
    <w:rsid w:val="00654E13"/>
    <w:rsid w:val="00666A37"/>
    <w:rsid w:val="00667489"/>
    <w:rsid w:val="00670972"/>
    <w:rsid w:val="00670D44"/>
    <w:rsid w:val="00673F4C"/>
    <w:rsid w:val="00675982"/>
    <w:rsid w:val="00676AFC"/>
    <w:rsid w:val="006807CD"/>
    <w:rsid w:val="006813FB"/>
    <w:rsid w:val="00681DF8"/>
    <w:rsid w:val="00682584"/>
    <w:rsid w:val="00682D43"/>
    <w:rsid w:val="00685BAF"/>
    <w:rsid w:val="00687E5C"/>
    <w:rsid w:val="00690463"/>
    <w:rsid w:val="00693DE5"/>
    <w:rsid w:val="00697F41"/>
    <w:rsid w:val="006A0D03"/>
    <w:rsid w:val="006A41E9"/>
    <w:rsid w:val="006B1135"/>
    <w:rsid w:val="006B12CB"/>
    <w:rsid w:val="006B2030"/>
    <w:rsid w:val="006B2D4A"/>
    <w:rsid w:val="006B447B"/>
    <w:rsid w:val="006B5583"/>
    <w:rsid w:val="006B5916"/>
    <w:rsid w:val="006B7FE2"/>
    <w:rsid w:val="006C20BE"/>
    <w:rsid w:val="006C4775"/>
    <w:rsid w:val="006C4F4A"/>
    <w:rsid w:val="006C5E80"/>
    <w:rsid w:val="006C7CEE"/>
    <w:rsid w:val="006D075E"/>
    <w:rsid w:val="006D09DC"/>
    <w:rsid w:val="006D3509"/>
    <w:rsid w:val="006D7C6E"/>
    <w:rsid w:val="006E042A"/>
    <w:rsid w:val="006E15A2"/>
    <w:rsid w:val="006E2323"/>
    <w:rsid w:val="006E2F95"/>
    <w:rsid w:val="006E3063"/>
    <w:rsid w:val="006F148B"/>
    <w:rsid w:val="006F5BB9"/>
    <w:rsid w:val="00705EAF"/>
    <w:rsid w:val="0070773E"/>
    <w:rsid w:val="007101CC"/>
    <w:rsid w:val="007126BD"/>
    <w:rsid w:val="007151CE"/>
    <w:rsid w:val="00715C55"/>
    <w:rsid w:val="00715E45"/>
    <w:rsid w:val="00724E3B"/>
    <w:rsid w:val="00725EEA"/>
    <w:rsid w:val="007276B6"/>
    <w:rsid w:val="00730CE9"/>
    <w:rsid w:val="007313A9"/>
    <w:rsid w:val="0073373D"/>
    <w:rsid w:val="0073435E"/>
    <w:rsid w:val="00743589"/>
    <w:rsid w:val="007439DB"/>
    <w:rsid w:val="00746009"/>
    <w:rsid w:val="00747503"/>
    <w:rsid w:val="007568D8"/>
    <w:rsid w:val="007611D6"/>
    <w:rsid w:val="00763305"/>
    <w:rsid w:val="00765316"/>
    <w:rsid w:val="007708C8"/>
    <w:rsid w:val="00775632"/>
    <w:rsid w:val="00776CA0"/>
    <w:rsid w:val="0077719D"/>
    <w:rsid w:val="00780DF0"/>
    <w:rsid w:val="007810B7"/>
    <w:rsid w:val="00781D60"/>
    <w:rsid w:val="00782BA9"/>
    <w:rsid w:val="00782F0F"/>
    <w:rsid w:val="00783A99"/>
    <w:rsid w:val="00783D7A"/>
    <w:rsid w:val="0078538F"/>
    <w:rsid w:val="00787482"/>
    <w:rsid w:val="007A0548"/>
    <w:rsid w:val="007A286D"/>
    <w:rsid w:val="007A314D"/>
    <w:rsid w:val="007A38DF"/>
    <w:rsid w:val="007A607E"/>
    <w:rsid w:val="007B00E5"/>
    <w:rsid w:val="007B20CF"/>
    <w:rsid w:val="007B2499"/>
    <w:rsid w:val="007B4B8E"/>
    <w:rsid w:val="007B72E1"/>
    <w:rsid w:val="007B783A"/>
    <w:rsid w:val="007C1B95"/>
    <w:rsid w:val="007C1D13"/>
    <w:rsid w:val="007C3DF3"/>
    <w:rsid w:val="007C796D"/>
    <w:rsid w:val="007C7AFC"/>
    <w:rsid w:val="007D5217"/>
    <w:rsid w:val="007D73FB"/>
    <w:rsid w:val="007D7505"/>
    <w:rsid w:val="007E075B"/>
    <w:rsid w:val="007E2F2D"/>
    <w:rsid w:val="007F1433"/>
    <w:rsid w:val="007F1491"/>
    <w:rsid w:val="007F26F2"/>
    <w:rsid w:val="007F2F03"/>
    <w:rsid w:val="007F7207"/>
    <w:rsid w:val="00800FE0"/>
    <w:rsid w:val="00803F44"/>
    <w:rsid w:val="00805FCD"/>
    <w:rsid w:val="008066AD"/>
    <w:rsid w:val="00814AF1"/>
    <w:rsid w:val="0081517F"/>
    <w:rsid w:val="00815370"/>
    <w:rsid w:val="0082153D"/>
    <w:rsid w:val="008255AA"/>
    <w:rsid w:val="00830E40"/>
    <w:rsid w:val="00830FF3"/>
    <w:rsid w:val="0083317D"/>
    <w:rsid w:val="008334BF"/>
    <w:rsid w:val="00836B8C"/>
    <w:rsid w:val="00840062"/>
    <w:rsid w:val="008410C5"/>
    <w:rsid w:val="00845264"/>
    <w:rsid w:val="008461D9"/>
    <w:rsid w:val="00846C08"/>
    <w:rsid w:val="008530E7"/>
    <w:rsid w:val="00856BDB"/>
    <w:rsid w:val="00857675"/>
    <w:rsid w:val="00861C9B"/>
    <w:rsid w:val="00861E49"/>
    <w:rsid w:val="0086358E"/>
    <w:rsid w:val="00872C48"/>
    <w:rsid w:val="0087491B"/>
    <w:rsid w:val="00875A60"/>
    <w:rsid w:val="00875EC3"/>
    <w:rsid w:val="008763E7"/>
    <w:rsid w:val="008768DE"/>
    <w:rsid w:val="008808C5"/>
    <w:rsid w:val="00881A7C"/>
    <w:rsid w:val="00883C78"/>
    <w:rsid w:val="00884BBF"/>
    <w:rsid w:val="00885159"/>
    <w:rsid w:val="00885214"/>
    <w:rsid w:val="00887615"/>
    <w:rsid w:val="00890052"/>
    <w:rsid w:val="008924A8"/>
    <w:rsid w:val="008947AE"/>
    <w:rsid w:val="00894E3A"/>
    <w:rsid w:val="00895A2F"/>
    <w:rsid w:val="00896EBD"/>
    <w:rsid w:val="008A1AAC"/>
    <w:rsid w:val="008A2E07"/>
    <w:rsid w:val="008A5665"/>
    <w:rsid w:val="008B24A8"/>
    <w:rsid w:val="008B25E4"/>
    <w:rsid w:val="008B32CB"/>
    <w:rsid w:val="008B3D78"/>
    <w:rsid w:val="008C1A0C"/>
    <w:rsid w:val="008C1D8C"/>
    <w:rsid w:val="008C261B"/>
    <w:rsid w:val="008C4FCA"/>
    <w:rsid w:val="008C6C37"/>
    <w:rsid w:val="008C7882"/>
    <w:rsid w:val="008C7998"/>
    <w:rsid w:val="008D2261"/>
    <w:rsid w:val="008D3AC0"/>
    <w:rsid w:val="008D4C28"/>
    <w:rsid w:val="008D4E61"/>
    <w:rsid w:val="008D5681"/>
    <w:rsid w:val="008D577B"/>
    <w:rsid w:val="008D5D75"/>
    <w:rsid w:val="008D7A98"/>
    <w:rsid w:val="008E0EA6"/>
    <w:rsid w:val="008E17C4"/>
    <w:rsid w:val="008E45C4"/>
    <w:rsid w:val="008E64B1"/>
    <w:rsid w:val="008E64FA"/>
    <w:rsid w:val="008E74ED"/>
    <w:rsid w:val="008F2A5A"/>
    <w:rsid w:val="008F3B80"/>
    <w:rsid w:val="008F4DEF"/>
    <w:rsid w:val="008F7287"/>
    <w:rsid w:val="008F7FB9"/>
    <w:rsid w:val="00903715"/>
    <w:rsid w:val="00903D0D"/>
    <w:rsid w:val="009048E1"/>
    <w:rsid w:val="0090598C"/>
    <w:rsid w:val="009071BB"/>
    <w:rsid w:val="00913885"/>
    <w:rsid w:val="00915ABF"/>
    <w:rsid w:val="00921CAD"/>
    <w:rsid w:val="009301CE"/>
    <w:rsid w:val="009311ED"/>
    <w:rsid w:val="00931D41"/>
    <w:rsid w:val="00932AAA"/>
    <w:rsid w:val="00933D18"/>
    <w:rsid w:val="00934138"/>
    <w:rsid w:val="00936ED8"/>
    <w:rsid w:val="00940CC7"/>
    <w:rsid w:val="00942221"/>
    <w:rsid w:val="00944C27"/>
    <w:rsid w:val="00944DE5"/>
    <w:rsid w:val="00950FBB"/>
    <w:rsid w:val="00951118"/>
    <w:rsid w:val="0095122F"/>
    <w:rsid w:val="00951DF8"/>
    <w:rsid w:val="00953334"/>
    <w:rsid w:val="00953349"/>
    <w:rsid w:val="00953E4C"/>
    <w:rsid w:val="00953EA9"/>
    <w:rsid w:val="00954E0C"/>
    <w:rsid w:val="009560C5"/>
    <w:rsid w:val="00961156"/>
    <w:rsid w:val="00962E71"/>
    <w:rsid w:val="00964F03"/>
    <w:rsid w:val="00966F1F"/>
    <w:rsid w:val="00967816"/>
    <w:rsid w:val="00971243"/>
    <w:rsid w:val="00972667"/>
    <w:rsid w:val="00975676"/>
    <w:rsid w:val="00976467"/>
    <w:rsid w:val="00976D32"/>
    <w:rsid w:val="009844F7"/>
    <w:rsid w:val="00991E86"/>
    <w:rsid w:val="009938F7"/>
    <w:rsid w:val="009943D7"/>
    <w:rsid w:val="009A05AA"/>
    <w:rsid w:val="009A2D5A"/>
    <w:rsid w:val="009A406B"/>
    <w:rsid w:val="009A6509"/>
    <w:rsid w:val="009A6E2F"/>
    <w:rsid w:val="009B0198"/>
    <w:rsid w:val="009B04A5"/>
    <w:rsid w:val="009B0C0B"/>
    <w:rsid w:val="009B1110"/>
    <w:rsid w:val="009B175F"/>
    <w:rsid w:val="009B2969"/>
    <w:rsid w:val="009B2C7E"/>
    <w:rsid w:val="009B3843"/>
    <w:rsid w:val="009B45FB"/>
    <w:rsid w:val="009B52A8"/>
    <w:rsid w:val="009B6DBD"/>
    <w:rsid w:val="009B7E54"/>
    <w:rsid w:val="009C108A"/>
    <w:rsid w:val="009C1101"/>
    <w:rsid w:val="009C23E6"/>
    <w:rsid w:val="009C2E47"/>
    <w:rsid w:val="009C3CA2"/>
    <w:rsid w:val="009C51CA"/>
    <w:rsid w:val="009C56BC"/>
    <w:rsid w:val="009C613A"/>
    <w:rsid w:val="009C6BFB"/>
    <w:rsid w:val="009D0C05"/>
    <w:rsid w:val="009D3324"/>
    <w:rsid w:val="009D4BAA"/>
    <w:rsid w:val="009D7F61"/>
    <w:rsid w:val="009E2C00"/>
    <w:rsid w:val="009E49AD"/>
    <w:rsid w:val="009E4CC5"/>
    <w:rsid w:val="009E66FE"/>
    <w:rsid w:val="009E6BD9"/>
    <w:rsid w:val="009E70F4"/>
    <w:rsid w:val="009E72A3"/>
    <w:rsid w:val="009F1AD2"/>
    <w:rsid w:val="00A00C78"/>
    <w:rsid w:val="00A0479E"/>
    <w:rsid w:val="00A07979"/>
    <w:rsid w:val="00A07DD1"/>
    <w:rsid w:val="00A101D0"/>
    <w:rsid w:val="00A11755"/>
    <w:rsid w:val="00A207FB"/>
    <w:rsid w:val="00A24016"/>
    <w:rsid w:val="00A240DB"/>
    <w:rsid w:val="00A265BF"/>
    <w:rsid w:val="00A26F44"/>
    <w:rsid w:val="00A27F4D"/>
    <w:rsid w:val="00A30C8E"/>
    <w:rsid w:val="00A31F94"/>
    <w:rsid w:val="00A32EC6"/>
    <w:rsid w:val="00A33272"/>
    <w:rsid w:val="00A34FAB"/>
    <w:rsid w:val="00A37002"/>
    <w:rsid w:val="00A408A2"/>
    <w:rsid w:val="00A4097C"/>
    <w:rsid w:val="00A42554"/>
    <w:rsid w:val="00A42C43"/>
    <w:rsid w:val="00A4313D"/>
    <w:rsid w:val="00A46AD3"/>
    <w:rsid w:val="00A50120"/>
    <w:rsid w:val="00A53749"/>
    <w:rsid w:val="00A54CCA"/>
    <w:rsid w:val="00A60351"/>
    <w:rsid w:val="00A61371"/>
    <w:rsid w:val="00A61C6D"/>
    <w:rsid w:val="00A61D72"/>
    <w:rsid w:val="00A63015"/>
    <w:rsid w:val="00A6387B"/>
    <w:rsid w:val="00A63938"/>
    <w:rsid w:val="00A63F4E"/>
    <w:rsid w:val="00A66097"/>
    <w:rsid w:val="00A66254"/>
    <w:rsid w:val="00A66C6D"/>
    <w:rsid w:val="00A678B4"/>
    <w:rsid w:val="00A704A3"/>
    <w:rsid w:val="00A70B25"/>
    <w:rsid w:val="00A719D1"/>
    <w:rsid w:val="00A75E23"/>
    <w:rsid w:val="00A76FC3"/>
    <w:rsid w:val="00A812A6"/>
    <w:rsid w:val="00A82AA0"/>
    <w:rsid w:val="00A82F8A"/>
    <w:rsid w:val="00A84622"/>
    <w:rsid w:val="00A84BF0"/>
    <w:rsid w:val="00A8670F"/>
    <w:rsid w:val="00A9226B"/>
    <w:rsid w:val="00A938F9"/>
    <w:rsid w:val="00A9575C"/>
    <w:rsid w:val="00A95B56"/>
    <w:rsid w:val="00A969AF"/>
    <w:rsid w:val="00A9789B"/>
    <w:rsid w:val="00AA1A86"/>
    <w:rsid w:val="00AB1A2E"/>
    <w:rsid w:val="00AB328A"/>
    <w:rsid w:val="00AB4918"/>
    <w:rsid w:val="00AB4BC8"/>
    <w:rsid w:val="00AB6BA7"/>
    <w:rsid w:val="00AB7BE8"/>
    <w:rsid w:val="00AC34BD"/>
    <w:rsid w:val="00AC60A6"/>
    <w:rsid w:val="00AD0710"/>
    <w:rsid w:val="00AD4DB9"/>
    <w:rsid w:val="00AD63C0"/>
    <w:rsid w:val="00AD730D"/>
    <w:rsid w:val="00AD7E99"/>
    <w:rsid w:val="00AE0EFA"/>
    <w:rsid w:val="00AE2394"/>
    <w:rsid w:val="00AE2F93"/>
    <w:rsid w:val="00AE35B2"/>
    <w:rsid w:val="00AE6AA0"/>
    <w:rsid w:val="00AE7C5A"/>
    <w:rsid w:val="00AF05EA"/>
    <w:rsid w:val="00AF3375"/>
    <w:rsid w:val="00AF394E"/>
    <w:rsid w:val="00AF410C"/>
    <w:rsid w:val="00AF5847"/>
    <w:rsid w:val="00B00CA4"/>
    <w:rsid w:val="00B049E4"/>
    <w:rsid w:val="00B075D6"/>
    <w:rsid w:val="00B10C15"/>
    <w:rsid w:val="00B113B9"/>
    <w:rsid w:val="00B119A2"/>
    <w:rsid w:val="00B13B6D"/>
    <w:rsid w:val="00B177F2"/>
    <w:rsid w:val="00B201F1"/>
    <w:rsid w:val="00B2603F"/>
    <w:rsid w:val="00B279AD"/>
    <w:rsid w:val="00B304E7"/>
    <w:rsid w:val="00B318B6"/>
    <w:rsid w:val="00B32DFD"/>
    <w:rsid w:val="00B33798"/>
    <w:rsid w:val="00B3499B"/>
    <w:rsid w:val="00B34FEC"/>
    <w:rsid w:val="00B3500A"/>
    <w:rsid w:val="00B35EF2"/>
    <w:rsid w:val="00B4157B"/>
    <w:rsid w:val="00B41F47"/>
    <w:rsid w:val="00B44468"/>
    <w:rsid w:val="00B47ADE"/>
    <w:rsid w:val="00B521CD"/>
    <w:rsid w:val="00B52242"/>
    <w:rsid w:val="00B52DF7"/>
    <w:rsid w:val="00B60AC9"/>
    <w:rsid w:val="00B63D4D"/>
    <w:rsid w:val="00B645D7"/>
    <w:rsid w:val="00B66E41"/>
    <w:rsid w:val="00B67323"/>
    <w:rsid w:val="00B715F2"/>
    <w:rsid w:val="00B730AA"/>
    <w:rsid w:val="00B74071"/>
    <w:rsid w:val="00B7428E"/>
    <w:rsid w:val="00B74B67"/>
    <w:rsid w:val="00B75580"/>
    <w:rsid w:val="00B779AA"/>
    <w:rsid w:val="00B81C1A"/>
    <w:rsid w:val="00B81C95"/>
    <w:rsid w:val="00B82330"/>
    <w:rsid w:val="00B82ED4"/>
    <w:rsid w:val="00B8424F"/>
    <w:rsid w:val="00B86896"/>
    <w:rsid w:val="00B875A6"/>
    <w:rsid w:val="00B92F3F"/>
    <w:rsid w:val="00B93E4C"/>
    <w:rsid w:val="00B94A1B"/>
    <w:rsid w:val="00BA38D2"/>
    <w:rsid w:val="00BA5C89"/>
    <w:rsid w:val="00BB04EB"/>
    <w:rsid w:val="00BB1B23"/>
    <w:rsid w:val="00BB2539"/>
    <w:rsid w:val="00BB4CE2"/>
    <w:rsid w:val="00BB5EF0"/>
    <w:rsid w:val="00BB6724"/>
    <w:rsid w:val="00BB7837"/>
    <w:rsid w:val="00BC0EFB"/>
    <w:rsid w:val="00BC24B4"/>
    <w:rsid w:val="00BC2E39"/>
    <w:rsid w:val="00BC6461"/>
    <w:rsid w:val="00BD2364"/>
    <w:rsid w:val="00BD28E3"/>
    <w:rsid w:val="00BD2910"/>
    <w:rsid w:val="00BD2C6A"/>
    <w:rsid w:val="00BE117E"/>
    <w:rsid w:val="00BE15AB"/>
    <w:rsid w:val="00BE292E"/>
    <w:rsid w:val="00BE3261"/>
    <w:rsid w:val="00BE5217"/>
    <w:rsid w:val="00BE7A0A"/>
    <w:rsid w:val="00BF00EF"/>
    <w:rsid w:val="00BF58FC"/>
    <w:rsid w:val="00C01F77"/>
    <w:rsid w:val="00C01FFC"/>
    <w:rsid w:val="00C02F69"/>
    <w:rsid w:val="00C05321"/>
    <w:rsid w:val="00C059DD"/>
    <w:rsid w:val="00C05A50"/>
    <w:rsid w:val="00C06AE4"/>
    <w:rsid w:val="00C114FF"/>
    <w:rsid w:val="00C11D49"/>
    <w:rsid w:val="00C12F41"/>
    <w:rsid w:val="00C14682"/>
    <w:rsid w:val="00C15ABF"/>
    <w:rsid w:val="00C171A1"/>
    <w:rsid w:val="00C171A4"/>
    <w:rsid w:val="00C17E06"/>
    <w:rsid w:val="00C17F12"/>
    <w:rsid w:val="00C20734"/>
    <w:rsid w:val="00C20A87"/>
    <w:rsid w:val="00C21C1A"/>
    <w:rsid w:val="00C237E9"/>
    <w:rsid w:val="00C3280B"/>
    <w:rsid w:val="00C32989"/>
    <w:rsid w:val="00C33ADB"/>
    <w:rsid w:val="00C36883"/>
    <w:rsid w:val="00C378D7"/>
    <w:rsid w:val="00C40928"/>
    <w:rsid w:val="00C40CFF"/>
    <w:rsid w:val="00C42697"/>
    <w:rsid w:val="00C43F01"/>
    <w:rsid w:val="00C47552"/>
    <w:rsid w:val="00C52CE6"/>
    <w:rsid w:val="00C561B7"/>
    <w:rsid w:val="00C57A81"/>
    <w:rsid w:val="00C60193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0511"/>
    <w:rsid w:val="00C81C97"/>
    <w:rsid w:val="00C828CF"/>
    <w:rsid w:val="00C840C2"/>
    <w:rsid w:val="00C84101"/>
    <w:rsid w:val="00C8528F"/>
    <w:rsid w:val="00C8535F"/>
    <w:rsid w:val="00C90AF4"/>
    <w:rsid w:val="00C90EDA"/>
    <w:rsid w:val="00C92F1B"/>
    <w:rsid w:val="00C959E7"/>
    <w:rsid w:val="00CA0FCF"/>
    <w:rsid w:val="00CA5A2C"/>
    <w:rsid w:val="00CA7493"/>
    <w:rsid w:val="00CB25C3"/>
    <w:rsid w:val="00CC1E65"/>
    <w:rsid w:val="00CC20BF"/>
    <w:rsid w:val="00CC567A"/>
    <w:rsid w:val="00CD4059"/>
    <w:rsid w:val="00CD4E5A"/>
    <w:rsid w:val="00CD6AFD"/>
    <w:rsid w:val="00CE03CE"/>
    <w:rsid w:val="00CE0F5D"/>
    <w:rsid w:val="00CE1A6A"/>
    <w:rsid w:val="00CF007F"/>
    <w:rsid w:val="00CF0DFF"/>
    <w:rsid w:val="00CF2BDE"/>
    <w:rsid w:val="00CF5192"/>
    <w:rsid w:val="00CF581F"/>
    <w:rsid w:val="00CF6762"/>
    <w:rsid w:val="00D028A9"/>
    <w:rsid w:val="00D029BA"/>
    <w:rsid w:val="00D0359D"/>
    <w:rsid w:val="00D04DED"/>
    <w:rsid w:val="00D101B6"/>
    <w:rsid w:val="00D1089A"/>
    <w:rsid w:val="00D116BD"/>
    <w:rsid w:val="00D15BAD"/>
    <w:rsid w:val="00D2001A"/>
    <w:rsid w:val="00D20684"/>
    <w:rsid w:val="00D20743"/>
    <w:rsid w:val="00D22F2B"/>
    <w:rsid w:val="00D26B62"/>
    <w:rsid w:val="00D31488"/>
    <w:rsid w:val="00D31B86"/>
    <w:rsid w:val="00D32624"/>
    <w:rsid w:val="00D32FD8"/>
    <w:rsid w:val="00D3524A"/>
    <w:rsid w:val="00D3691A"/>
    <w:rsid w:val="00D3709D"/>
    <w:rsid w:val="00D377E2"/>
    <w:rsid w:val="00D37922"/>
    <w:rsid w:val="00D403E9"/>
    <w:rsid w:val="00D42DCB"/>
    <w:rsid w:val="00D45482"/>
    <w:rsid w:val="00D46DF2"/>
    <w:rsid w:val="00D47674"/>
    <w:rsid w:val="00D5148E"/>
    <w:rsid w:val="00D5338C"/>
    <w:rsid w:val="00D57F86"/>
    <w:rsid w:val="00D606B2"/>
    <w:rsid w:val="00D61C96"/>
    <w:rsid w:val="00D625A7"/>
    <w:rsid w:val="00D64074"/>
    <w:rsid w:val="00D65777"/>
    <w:rsid w:val="00D66A54"/>
    <w:rsid w:val="00D703ED"/>
    <w:rsid w:val="00D728A0"/>
    <w:rsid w:val="00D83661"/>
    <w:rsid w:val="00D86333"/>
    <w:rsid w:val="00D9216A"/>
    <w:rsid w:val="00D97E7D"/>
    <w:rsid w:val="00DA0634"/>
    <w:rsid w:val="00DA0B3E"/>
    <w:rsid w:val="00DB3439"/>
    <w:rsid w:val="00DB3618"/>
    <w:rsid w:val="00DB468A"/>
    <w:rsid w:val="00DC2946"/>
    <w:rsid w:val="00DC550F"/>
    <w:rsid w:val="00DC64FD"/>
    <w:rsid w:val="00DD53C3"/>
    <w:rsid w:val="00DE127F"/>
    <w:rsid w:val="00DE1AC7"/>
    <w:rsid w:val="00DE3BDA"/>
    <w:rsid w:val="00DE3C62"/>
    <w:rsid w:val="00DE424A"/>
    <w:rsid w:val="00DE4419"/>
    <w:rsid w:val="00DE67C4"/>
    <w:rsid w:val="00DF0ACA"/>
    <w:rsid w:val="00DF2245"/>
    <w:rsid w:val="00DF2953"/>
    <w:rsid w:val="00DF3EB5"/>
    <w:rsid w:val="00DF4CE9"/>
    <w:rsid w:val="00DF755A"/>
    <w:rsid w:val="00DF77CF"/>
    <w:rsid w:val="00E00DAE"/>
    <w:rsid w:val="00E026E8"/>
    <w:rsid w:val="00E038EE"/>
    <w:rsid w:val="00E060F7"/>
    <w:rsid w:val="00E14C47"/>
    <w:rsid w:val="00E17CCB"/>
    <w:rsid w:val="00E21AF5"/>
    <w:rsid w:val="00E22698"/>
    <w:rsid w:val="00E25B7C"/>
    <w:rsid w:val="00E3076B"/>
    <w:rsid w:val="00E324D8"/>
    <w:rsid w:val="00E33472"/>
    <w:rsid w:val="00E34003"/>
    <w:rsid w:val="00E355E9"/>
    <w:rsid w:val="00E36E6E"/>
    <w:rsid w:val="00E3725B"/>
    <w:rsid w:val="00E37A19"/>
    <w:rsid w:val="00E434D1"/>
    <w:rsid w:val="00E4706B"/>
    <w:rsid w:val="00E50833"/>
    <w:rsid w:val="00E517BA"/>
    <w:rsid w:val="00E51B13"/>
    <w:rsid w:val="00E5253B"/>
    <w:rsid w:val="00E55290"/>
    <w:rsid w:val="00E56CBB"/>
    <w:rsid w:val="00E61950"/>
    <w:rsid w:val="00E61E51"/>
    <w:rsid w:val="00E6552A"/>
    <w:rsid w:val="00E6707D"/>
    <w:rsid w:val="00E70337"/>
    <w:rsid w:val="00E708EE"/>
    <w:rsid w:val="00E70E7C"/>
    <w:rsid w:val="00E71313"/>
    <w:rsid w:val="00E713E3"/>
    <w:rsid w:val="00E72606"/>
    <w:rsid w:val="00E73C3E"/>
    <w:rsid w:val="00E74050"/>
    <w:rsid w:val="00E82496"/>
    <w:rsid w:val="00E8267B"/>
    <w:rsid w:val="00E834CD"/>
    <w:rsid w:val="00E846DC"/>
    <w:rsid w:val="00E84E9D"/>
    <w:rsid w:val="00E85CD6"/>
    <w:rsid w:val="00E86CEE"/>
    <w:rsid w:val="00E9275C"/>
    <w:rsid w:val="00E935AF"/>
    <w:rsid w:val="00EA3C07"/>
    <w:rsid w:val="00EB0600"/>
    <w:rsid w:val="00EB0E20"/>
    <w:rsid w:val="00EB1A80"/>
    <w:rsid w:val="00EB23C3"/>
    <w:rsid w:val="00EB457B"/>
    <w:rsid w:val="00EC47C4"/>
    <w:rsid w:val="00EC4F3A"/>
    <w:rsid w:val="00EC4FD0"/>
    <w:rsid w:val="00EC56FB"/>
    <w:rsid w:val="00EC5E74"/>
    <w:rsid w:val="00ED594D"/>
    <w:rsid w:val="00EE0715"/>
    <w:rsid w:val="00EE365F"/>
    <w:rsid w:val="00EE36E1"/>
    <w:rsid w:val="00EE5D03"/>
    <w:rsid w:val="00EE6228"/>
    <w:rsid w:val="00EE7AC7"/>
    <w:rsid w:val="00EE7B3F"/>
    <w:rsid w:val="00EF374E"/>
    <w:rsid w:val="00EF3A8A"/>
    <w:rsid w:val="00EF70ED"/>
    <w:rsid w:val="00EF765E"/>
    <w:rsid w:val="00F0054D"/>
    <w:rsid w:val="00F02467"/>
    <w:rsid w:val="00F04D0E"/>
    <w:rsid w:val="00F0640B"/>
    <w:rsid w:val="00F12214"/>
    <w:rsid w:val="00F12565"/>
    <w:rsid w:val="00F13BF1"/>
    <w:rsid w:val="00F144BE"/>
    <w:rsid w:val="00F14ACA"/>
    <w:rsid w:val="00F17649"/>
    <w:rsid w:val="00F176BE"/>
    <w:rsid w:val="00F17A0C"/>
    <w:rsid w:val="00F23927"/>
    <w:rsid w:val="00F26A05"/>
    <w:rsid w:val="00F307CE"/>
    <w:rsid w:val="00F33B3E"/>
    <w:rsid w:val="00F341A2"/>
    <w:rsid w:val="00F343C8"/>
    <w:rsid w:val="00F354C5"/>
    <w:rsid w:val="00F37108"/>
    <w:rsid w:val="00F40449"/>
    <w:rsid w:val="00F45B8E"/>
    <w:rsid w:val="00F4615F"/>
    <w:rsid w:val="00F47BAA"/>
    <w:rsid w:val="00F520FE"/>
    <w:rsid w:val="00F52EAB"/>
    <w:rsid w:val="00F531BB"/>
    <w:rsid w:val="00F55A04"/>
    <w:rsid w:val="00F55BCD"/>
    <w:rsid w:val="00F61A31"/>
    <w:rsid w:val="00F63816"/>
    <w:rsid w:val="00F63921"/>
    <w:rsid w:val="00F66F00"/>
    <w:rsid w:val="00F67A2D"/>
    <w:rsid w:val="00F70A1B"/>
    <w:rsid w:val="00F72FDF"/>
    <w:rsid w:val="00F732AA"/>
    <w:rsid w:val="00F753E5"/>
    <w:rsid w:val="00F75960"/>
    <w:rsid w:val="00F76EA1"/>
    <w:rsid w:val="00F82526"/>
    <w:rsid w:val="00F82D0C"/>
    <w:rsid w:val="00F84672"/>
    <w:rsid w:val="00F84802"/>
    <w:rsid w:val="00F86089"/>
    <w:rsid w:val="00F9083E"/>
    <w:rsid w:val="00F90BFB"/>
    <w:rsid w:val="00F95A8C"/>
    <w:rsid w:val="00F95AFD"/>
    <w:rsid w:val="00F96C19"/>
    <w:rsid w:val="00F97A5D"/>
    <w:rsid w:val="00FA0320"/>
    <w:rsid w:val="00FA048D"/>
    <w:rsid w:val="00FA06FD"/>
    <w:rsid w:val="00FA3FD8"/>
    <w:rsid w:val="00FA515B"/>
    <w:rsid w:val="00FA6B90"/>
    <w:rsid w:val="00FA70F9"/>
    <w:rsid w:val="00FA74CB"/>
    <w:rsid w:val="00FB1BAE"/>
    <w:rsid w:val="00FB207A"/>
    <w:rsid w:val="00FB2886"/>
    <w:rsid w:val="00FB466E"/>
    <w:rsid w:val="00FC02F3"/>
    <w:rsid w:val="00FC1140"/>
    <w:rsid w:val="00FC5533"/>
    <w:rsid w:val="00FC752C"/>
    <w:rsid w:val="00FD0492"/>
    <w:rsid w:val="00FD13EC"/>
    <w:rsid w:val="00FD1E45"/>
    <w:rsid w:val="00FD4DA8"/>
    <w:rsid w:val="00FD4EEF"/>
    <w:rsid w:val="00FD5461"/>
    <w:rsid w:val="00FD55D0"/>
    <w:rsid w:val="00FD63A8"/>
    <w:rsid w:val="00FD6BDB"/>
    <w:rsid w:val="00FD6F00"/>
    <w:rsid w:val="00FD7B98"/>
    <w:rsid w:val="00FE305B"/>
    <w:rsid w:val="00FF18D2"/>
    <w:rsid w:val="00FF22F5"/>
    <w:rsid w:val="00FF34F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F8B4B16"/>
  <w15:chartTrackingRefBased/>
  <w15:docId w15:val="{1538FA39-084E-4C46-8AE2-BB38B0C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qFormat/>
    <w:locked/>
    <w:rsid w:val="003909E0"/>
    <w:rPr>
      <w:lang w:val="pl-PL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B74F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eSub-Text11pt">
    <w:name w:val="eSub-Text 11 pt"/>
    <w:rsid w:val="004A17AE"/>
    <w:pPr>
      <w:spacing w:after="220"/>
      <w:jc w:val="both"/>
    </w:pPr>
    <w:rPr>
      <w:rFonts w:ascii="Arial" w:eastAsia="SimSun" w:hAnsi="Arial"/>
      <w:snapToGrid w:val="0"/>
      <w:sz w:val="22"/>
      <w:szCs w:val="22"/>
      <w:lang w:eastAsia="pl-PL"/>
    </w:rPr>
  </w:style>
  <w:style w:type="paragraph" w:customStyle="1" w:styleId="TableParagraph">
    <w:name w:val="Table Paragraph"/>
    <w:basedOn w:val="Normal"/>
    <w:uiPriority w:val="1"/>
    <w:qFormat/>
    <w:rsid w:val="00AA1A86"/>
    <w:pPr>
      <w:widowControl w:val="0"/>
      <w:tabs>
        <w:tab w:val="clear" w:pos="567"/>
      </w:tabs>
      <w:autoSpaceDE w:val="0"/>
      <w:autoSpaceDN w:val="0"/>
      <w:spacing w:before="6" w:line="240" w:lineRule="auto"/>
      <w:ind w:left="50"/>
    </w:pPr>
    <w:rPr>
      <w:szCs w:val="22"/>
      <w:lang w:val="en-GB"/>
    </w:rPr>
  </w:style>
  <w:style w:type="paragraph" w:styleId="NoSpacing">
    <w:name w:val="No Spacing"/>
    <w:uiPriority w:val="1"/>
    <w:qFormat/>
    <w:rsid w:val="005E3B49"/>
    <w:pPr>
      <w:tabs>
        <w:tab w:val="left" w:pos="567"/>
      </w:tabs>
    </w:pPr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AF2C52FBD654CB29725A1976C431B" ma:contentTypeVersion="6" ma:contentTypeDescription="Create a new document." ma:contentTypeScope="" ma:versionID="10b7873469311ab9ac28f7aa608930c5">
  <xsd:schema xmlns:xsd="http://www.w3.org/2001/XMLSchema" xmlns:xs="http://www.w3.org/2001/XMLSchema" xmlns:p="http://schemas.microsoft.com/office/2006/metadata/properties" xmlns:ns2="32386e46-fe51-4c50-9d5d-3f4c5a7c9292" xmlns:ns3="081c01b1-9c3f-45e2-925a-0eb25efb1fde" targetNamespace="http://schemas.microsoft.com/office/2006/metadata/properties" ma:root="true" ma:fieldsID="1928628ec73584ed61ea74e6731c765c" ns2:_="" ns3:_="">
    <xsd:import namespace="32386e46-fe51-4c50-9d5d-3f4c5a7c9292"/>
    <xsd:import namespace="081c01b1-9c3f-45e2-925a-0eb25efb1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6e46-fe51-4c50-9d5d-3f4c5a7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c01b1-9c3f-45e2-925a-0eb25efb1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BBABA-3AAE-4AC7-AF0C-B3ED4FA949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D3738A-A5D7-465E-8418-542B9022F95E}"/>
</file>

<file path=customXml/itemProps3.xml><?xml version="1.0" encoding="utf-8"?>
<ds:datastoreItem xmlns:ds="http://schemas.openxmlformats.org/officeDocument/2006/customXml" ds:itemID="{33DE5F5F-0232-45C8-ADD5-48B404D19D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F798A5-ED31-4AE5-9625-1C5439A3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1630</Words>
  <Characters>11393</Characters>
  <Application>Microsoft Office Word</Application>
  <DocSecurity>0</DocSecurity>
  <Lines>94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Galliprant, INN-grapiprant</vt:lpstr>
      <vt:lpstr>Galliprant, INN-grapiprant</vt:lpstr>
    </vt:vector>
  </TitlesOfParts>
  <Company/>
  <LinksUpToDate>false</LinksUpToDate>
  <CharactersWithSpaces>12998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Galliprant, INN-grapiprant</dc:title>
  <dc:subject>EPAR</dc:subject>
  <dc:creator>CVMP</dc:creator>
  <cp:keywords>Galliprant, INN-grapiprant</cp:keywords>
  <cp:lastModifiedBy>ANNA JASINSKA</cp:lastModifiedBy>
  <cp:revision>14</cp:revision>
  <cp:lastPrinted>2022-11-03T08:22:00Z</cp:lastPrinted>
  <dcterms:created xsi:type="dcterms:W3CDTF">2023-02-28T20:27:00Z</dcterms:created>
  <dcterms:modified xsi:type="dcterms:W3CDTF">2023-10-19T14:27:00Z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cinalProductDefinition.identifier">
    <vt:lpwstr>C8165FBE-B407-7B1F-E053-6D2A10AC4EAC; C8038B1A-B5C8-A912-E053-6B2A10AC5553; C8038B1A-B5C9-A912-E053-6B2A10AC5553</vt:lpwstr>
  </property>
  <property fmtid="{D5CDD505-2E9C-101B-9397-08002B2CF9AE}" pid="3" name="ContentTypeId">
    <vt:lpwstr>0x010100236AF2C52FBD654CB29725A1976C431B</vt:lpwstr>
  </property>
</Properties>
</file>